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06" w:rsidRDefault="005D4406" w:rsidP="005D4406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5D4406" w:rsidRDefault="005D4406" w:rsidP="005D440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GÖLBAŞI BELEDİYE MECLİSİ</w:t>
      </w:r>
    </w:p>
    <w:p w:rsidR="005D4406" w:rsidRDefault="005D4406" w:rsidP="005D440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HUKUK – TARİFELER- PLÂN VE BÜTÇE- HESAP TETKİK </w:t>
      </w:r>
    </w:p>
    <w:p w:rsidR="005D4406" w:rsidRDefault="005D4406" w:rsidP="005D440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KOMİSYONU RAPORU</w:t>
      </w:r>
    </w:p>
    <w:p w:rsidR="005D4406" w:rsidRPr="00F63F2C" w:rsidRDefault="005D4406" w:rsidP="005D4406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856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SAYI: </w:t>
      </w:r>
      <w:r w:rsidR="00CE7B12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1</w:t>
      </w:r>
      <w:r w:rsidRPr="00C856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C856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C856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C856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C856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C856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                      TARİH</w:t>
      </w:r>
      <w:r w:rsidRPr="006015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9D28C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63F2C" w:rsidRPr="00F63F2C">
        <w:rPr>
          <w:rFonts w:ascii="Times New Roman" w:hAnsi="Times New Roman" w:cs="Times New Roman"/>
          <w:b/>
          <w:bCs/>
          <w:sz w:val="24"/>
          <w:szCs w:val="24"/>
        </w:rPr>
        <w:t>03.07.2020</w:t>
      </w:r>
    </w:p>
    <w:p w:rsidR="005D4406" w:rsidRDefault="005D4406" w:rsidP="005D4406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5D4406" w:rsidRDefault="005D4406" w:rsidP="005D4406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5D4406" w:rsidRDefault="005D4406" w:rsidP="005D4406">
      <w:pPr>
        <w:pStyle w:val="Balk5"/>
        <w:rPr>
          <w:sz w:val="24"/>
          <w:szCs w:val="24"/>
        </w:rPr>
      </w:pPr>
      <w:r>
        <w:rPr>
          <w:sz w:val="24"/>
          <w:szCs w:val="24"/>
        </w:rPr>
        <w:t>GÖLBAŞI BELEDİYE MECLİS BAŞKANLIĞI’NA</w:t>
      </w:r>
    </w:p>
    <w:p w:rsidR="005D4406" w:rsidRDefault="005D4406" w:rsidP="005D4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406" w:rsidRDefault="005D4406" w:rsidP="005D4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567"/>
        <w:jc w:val="both"/>
        <w:rPr>
          <w:color w:val="000000" w:themeColor="text1"/>
        </w:rPr>
      </w:pPr>
      <w:r w:rsidRPr="008E5313">
        <w:rPr>
          <w:color w:val="000000" w:themeColor="text1"/>
        </w:rPr>
        <w:t>Belediyemizin 201</w:t>
      </w:r>
      <w:r w:rsidR="005C5812">
        <w:rPr>
          <w:color w:val="000000" w:themeColor="text1"/>
        </w:rPr>
        <w:t>9</w:t>
      </w:r>
      <w:r w:rsidRPr="008E5313">
        <w:rPr>
          <w:color w:val="000000" w:themeColor="text1"/>
        </w:rPr>
        <w:t xml:space="preserve"> Mali Yılı Kesin Hesap Cetvellerini içeren başkanlık yazısı, Belediye Meclisinin </w:t>
      </w:r>
      <w:r w:rsidR="00F63F2C">
        <w:rPr>
          <w:color w:val="000000" w:themeColor="text1"/>
        </w:rPr>
        <w:t>02.07.2020</w:t>
      </w:r>
      <w:r w:rsidRPr="008E5313">
        <w:rPr>
          <w:color w:val="000000" w:themeColor="text1"/>
        </w:rPr>
        <w:t xml:space="preserve"> tarih ve </w:t>
      </w:r>
      <w:r w:rsidR="00F63F2C">
        <w:rPr>
          <w:color w:val="000000" w:themeColor="text1"/>
        </w:rPr>
        <w:t>169</w:t>
      </w:r>
      <w:r w:rsidRPr="003F44E5">
        <w:rPr>
          <w:color w:val="000000" w:themeColor="text1"/>
        </w:rPr>
        <w:t xml:space="preserve"> </w:t>
      </w:r>
      <w:r w:rsidRPr="008E5313">
        <w:rPr>
          <w:color w:val="000000" w:themeColor="text1"/>
        </w:rPr>
        <w:t xml:space="preserve">sayılı kararı ile komisyonumuza incelenmek üzere havale edilmiştir. Komisyonumuz </w:t>
      </w:r>
      <w:r w:rsidR="00F63F2C">
        <w:rPr>
          <w:color w:val="000000" w:themeColor="text1"/>
        </w:rPr>
        <w:t>3</w:t>
      </w:r>
      <w:r w:rsidRPr="008E5313">
        <w:rPr>
          <w:color w:val="000000" w:themeColor="text1"/>
        </w:rPr>
        <w:t xml:space="preserve"> </w:t>
      </w:r>
      <w:r w:rsidR="00F63F2C">
        <w:rPr>
          <w:color w:val="000000" w:themeColor="text1"/>
        </w:rPr>
        <w:t>Temmuz</w:t>
      </w:r>
      <w:r w:rsidRPr="008E5313">
        <w:rPr>
          <w:color w:val="000000" w:themeColor="text1"/>
        </w:rPr>
        <w:t xml:space="preserve"> 20</w:t>
      </w:r>
      <w:r w:rsidR="00F63F2C">
        <w:rPr>
          <w:color w:val="000000" w:themeColor="text1"/>
        </w:rPr>
        <w:t>20</w:t>
      </w:r>
      <w:r w:rsidRPr="008E5313">
        <w:rPr>
          <w:color w:val="000000" w:themeColor="text1"/>
        </w:rPr>
        <w:t xml:space="preserve"> tarihinde 1 (Bir)  gün bir </w:t>
      </w:r>
      <w:proofErr w:type="gramStart"/>
      <w:r w:rsidRPr="008E5313">
        <w:rPr>
          <w:color w:val="000000" w:themeColor="text1"/>
        </w:rPr>
        <w:t>araya  gelerek</w:t>
      </w:r>
      <w:proofErr w:type="gramEnd"/>
      <w:r w:rsidRPr="008E5313">
        <w:rPr>
          <w:color w:val="000000" w:themeColor="text1"/>
        </w:rPr>
        <w:t xml:space="preserve">  konu üzerindeki çalışmalarını tamamlamıştır.</w:t>
      </w:r>
    </w:p>
    <w:p w:rsidR="005D4406" w:rsidRPr="008E5313" w:rsidRDefault="005D4406" w:rsidP="005D4406">
      <w:pPr>
        <w:pStyle w:val="NormalWeb"/>
        <w:spacing w:before="0" w:beforeAutospacing="0" w:after="0"/>
        <w:ind w:firstLine="567"/>
        <w:jc w:val="both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567"/>
        <w:jc w:val="both"/>
        <w:rPr>
          <w:color w:val="000000" w:themeColor="text1"/>
        </w:rPr>
      </w:pPr>
      <w:r w:rsidRPr="008E5313">
        <w:rPr>
          <w:color w:val="000000" w:themeColor="text1"/>
        </w:rPr>
        <w:t>5018 Sayılı Kamu Mali Yönetimi Kanununun 42.maddesi ile 5393 sayılı Belediye Kanununun 64ncü maddesi ve Mahalli İdareler Bütçe v</w:t>
      </w:r>
      <w:r w:rsidR="007520E3">
        <w:rPr>
          <w:color w:val="000000" w:themeColor="text1"/>
        </w:rPr>
        <w:t>e Muhasebe Yönetmeliği’nin 40ncı</w:t>
      </w:r>
      <w:r w:rsidRPr="008E5313">
        <w:rPr>
          <w:color w:val="000000" w:themeColor="text1"/>
        </w:rPr>
        <w:t xml:space="preserve"> maddesi gereğince hazırlanan, Belediyemiz 201</w:t>
      </w:r>
      <w:r w:rsidR="005C5812">
        <w:rPr>
          <w:color w:val="000000" w:themeColor="text1"/>
        </w:rPr>
        <w:t>9</w:t>
      </w:r>
      <w:r w:rsidRPr="008E5313">
        <w:rPr>
          <w:color w:val="000000" w:themeColor="text1"/>
        </w:rPr>
        <w:t xml:space="preserve"> mali yılı kesin hesabı incelenmiş ve değerlendirmeler neticesinde aşağıda belirtilen hususlar tespit edilmiştir;</w:t>
      </w:r>
    </w:p>
    <w:p w:rsidR="005D4406" w:rsidRPr="008E5313" w:rsidRDefault="005D4406" w:rsidP="005D4406">
      <w:pPr>
        <w:pStyle w:val="NormalWeb"/>
        <w:spacing w:before="0" w:beforeAutospacing="0" w:after="0"/>
        <w:ind w:firstLine="567"/>
        <w:jc w:val="both"/>
        <w:rPr>
          <w:color w:val="000000" w:themeColor="text1"/>
        </w:rPr>
      </w:pPr>
    </w:p>
    <w:p w:rsidR="005D4406" w:rsidRDefault="005D4406" w:rsidP="005D4406">
      <w:pPr>
        <w:pStyle w:val="NormalWeb"/>
        <w:spacing w:before="0" w:beforeAutospacing="0" w:after="0"/>
        <w:ind w:firstLine="567"/>
        <w:jc w:val="both"/>
        <w:rPr>
          <w:color w:val="000000" w:themeColor="text1"/>
        </w:rPr>
      </w:pPr>
      <w:r w:rsidRPr="008E5313">
        <w:rPr>
          <w:color w:val="000000" w:themeColor="text1"/>
        </w:rPr>
        <w:t>Belediyemizin 201</w:t>
      </w:r>
      <w:r w:rsidR="005C5812">
        <w:rPr>
          <w:color w:val="000000" w:themeColor="text1"/>
        </w:rPr>
        <w:t>9</w:t>
      </w:r>
      <w:r w:rsidRPr="008E5313">
        <w:rPr>
          <w:color w:val="000000" w:themeColor="text1"/>
        </w:rPr>
        <w:t xml:space="preserve"> yılı gelir </w:t>
      </w:r>
      <w:proofErr w:type="gramStart"/>
      <w:r w:rsidR="007520E3">
        <w:rPr>
          <w:color w:val="000000" w:themeColor="text1"/>
        </w:rPr>
        <w:t>bütçesi  ve</w:t>
      </w:r>
      <w:proofErr w:type="gramEnd"/>
      <w:r w:rsidR="007520E3">
        <w:rPr>
          <w:color w:val="000000" w:themeColor="text1"/>
        </w:rPr>
        <w:t xml:space="preserve"> gider bütçesi 150</w:t>
      </w:r>
      <w:r>
        <w:rPr>
          <w:color w:val="000000" w:themeColor="text1"/>
        </w:rPr>
        <w:t>.</w:t>
      </w:r>
      <w:r w:rsidR="007520E3">
        <w:rPr>
          <w:color w:val="000000" w:themeColor="text1"/>
        </w:rPr>
        <w:t>310</w:t>
      </w:r>
      <w:r>
        <w:rPr>
          <w:color w:val="000000" w:themeColor="text1"/>
        </w:rPr>
        <w:t>.000,00</w:t>
      </w:r>
      <w:r w:rsidRPr="008E5313">
        <w:rPr>
          <w:color w:val="000000" w:themeColor="text1"/>
        </w:rPr>
        <w:t xml:space="preserve"> TL</w:t>
      </w:r>
      <w:r>
        <w:rPr>
          <w:color w:val="000000" w:themeColor="text1"/>
        </w:rPr>
        <w:t xml:space="preserve"> denk olarak  hazırla</w:t>
      </w:r>
      <w:r w:rsidR="007520E3">
        <w:rPr>
          <w:color w:val="000000" w:themeColor="text1"/>
        </w:rPr>
        <w:t xml:space="preserve">nmıştır. </w:t>
      </w:r>
    </w:p>
    <w:p w:rsidR="005D4406" w:rsidRPr="008E5313" w:rsidRDefault="005D4406" w:rsidP="005D4406">
      <w:pPr>
        <w:pStyle w:val="NormalWeb"/>
        <w:spacing w:before="0" w:beforeAutospacing="0" w:after="0"/>
        <w:ind w:firstLine="567"/>
        <w:jc w:val="both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color w:val="000000" w:themeColor="text1"/>
        </w:rPr>
      </w:pPr>
      <w:r w:rsidRPr="008E5313">
        <w:rPr>
          <w:b/>
          <w:color w:val="000000" w:themeColor="text1"/>
        </w:rPr>
        <w:t xml:space="preserve">Gelir bütçesinde; </w:t>
      </w:r>
      <w:r w:rsidRPr="008E5313">
        <w:rPr>
          <w:color w:val="000000" w:themeColor="text1"/>
        </w:rPr>
        <w:t>ana kalemleri, yılsonu itibarı ile net tahsilâtları ve gerçekleşme oranlarına aşağıda yer verilmiştir.</w:t>
      </w:r>
    </w:p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b/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outlineLvl w:val="0"/>
        <w:rPr>
          <w:color w:val="000000" w:themeColor="text1"/>
        </w:rPr>
      </w:pPr>
      <w:r w:rsidRPr="008E5313">
        <w:rPr>
          <w:b/>
          <w:color w:val="000000" w:themeColor="text1"/>
        </w:rPr>
        <w:t>Vergi Gelirleri</w:t>
      </w:r>
      <w:r>
        <w:rPr>
          <w:b/>
          <w:color w:val="000000" w:themeColor="text1"/>
        </w:rPr>
        <w:t xml:space="preserve"> net</w:t>
      </w:r>
      <w:r w:rsidRPr="008E5313">
        <w:rPr>
          <w:color w:val="000000" w:themeColor="text1"/>
        </w:rPr>
        <w:t xml:space="preserve">, </w:t>
      </w:r>
      <w:r w:rsidR="007520E3">
        <w:rPr>
          <w:color w:val="000000" w:themeColor="text1"/>
        </w:rPr>
        <w:t>62.970.904,90</w:t>
      </w:r>
      <w:r w:rsidRPr="008E5313">
        <w:rPr>
          <w:color w:val="000000" w:themeColor="text1"/>
        </w:rPr>
        <w:t xml:space="preserve"> TL olarak gerçekleşmiş ve gerçekleşen bütçeye oranı  % 4</w:t>
      </w:r>
      <w:r w:rsidR="007520E3">
        <w:rPr>
          <w:color w:val="000000" w:themeColor="text1"/>
        </w:rPr>
        <w:t>2</w:t>
      </w: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outlineLvl w:val="0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  <w:r w:rsidRPr="008E5313">
        <w:rPr>
          <w:b/>
          <w:color w:val="000000" w:themeColor="text1"/>
        </w:rPr>
        <w:t>Teşebbüs ve Mülkiyet Gelirleri</w:t>
      </w:r>
      <w:r>
        <w:rPr>
          <w:b/>
          <w:color w:val="000000" w:themeColor="text1"/>
        </w:rPr>
        <w:t xml:space="preserve"> net</w:t>
      </w:r>
      <w:r w:rsidRPr="008E5313">
        <w:rPr>
          <w:color w:val="000000" w:themeColor="text1"/>
        </w:rPr>
        <w:t>,</w:t>
      </w:r>
      <w:r w:rsidR="007520E3">
        <w:rPr>
          <w:color w:val="000000" w:themeColor="text1"/>
        </w:rPr>
        <w:t>4.387.639,32</w:t>
      </w:r>
      <w:r w:rsidRPr="008E5313">
        <w:rPr>
          <w:color w:val="000000" w:themeColor="text1"/>
        </w:rPr>
        <w:t xml:space="preserve"> TL olarak gerçekleşmiş ve gerçekleşen bütçeye oranı  % 3</w:t>
      </w: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  <w:r w:rsidRPr="008E5313">
        <w:rPr>
          <w:b/>
          <w:color w:val="000000" w:themeColor="text1"/>
        </w:rPr>
        <w:t>Alınan Bağış ve Yardımlar ile Özel Gelirler</w:t>
      </w:r>
      <w:r>
        <w:rPr>
          <w:b/>
          <w:color w:val="000000" w:themeColor="text1"/>
        </w:rPr>
        <w:t xml:space="preserve"> net</w:t>
      </w:r>
      <w:r w:rsidRPr="008E5313">
        <w:rPr>
          <w:color w:val="000000" w:themeColor="text1"/>
        </w:rPr>
        <w:t xml:space="preserve">, </w:t>
      </w:r>
      <w:r w:rsidR="00823AEA">
        <w:rPr>
          <w:color w:val="000000" w:themeColor="text1"/>
        </w:rPr>
        <w:t>154.000,00</w:t>
      </w:r>
      <w:r w:rsidRPr="008E5313">
        <w:rPr>
          <w:color w:val="000000" w:themeColor="text1"/>
        </w:rPr>
        <w:t xml:space="preserve"> TL olarak gerçekleşmiş ve gerçekleşen bütçeye oranı  % 0,</w:t>
      </w:r>
      <w:r w:rsidR="00823AEA">
        <w:rPr>
          <w:color w:val="000000" w:themeColor="text1"/>
        </w:rPr>
        <w:t>12</w:t>
      </w: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  <w:r w:rsidRPr="008E5313">
        <w:rPr>
          <w:b/>
          <w:color w:val="000000" w:themeColor="text1"/>
        </w:rPr>
        <w:t>Diğer Gelirler</w:t>
      </w:r>
      <w:r>
        <w:rPr>
          <w:b/>
          <w:color w:val="000000" w:themeColor="text1"/>
        </w:rPr>
        <w:t xml:space="preserve"> net</w:t>
      </w:r>
      <w:r w:rsidRPr="008E5313">
        <w:rPr>
          <w:b/>
          <w:color w:val="000000" w:themeColor="text1"/>
        </w:rPr>
        <w:t>,</w:t>
      </w:r>
      <w:r w:rsidRPr="008E5313">
        <w:rPr>
          <w:color w:val="000000" w:themeColor="text1"/>
        </w:rPr>
        <w:t xml:space="preserve"> </w:t>
      </w:r>
      <w:r w:rsidR="00823AEA">
        <w:rPr>
          <w:color w:val="000000" w:themeColor="text1"/>
        </w:rPr>
        <w:t>54.532.745,66</w:t>
      </w:r>
      <w:r w:rsidRPr="008E5313">
        <w:rPr>
          <w:color w:val="000000" w:themeColor="text1"/>
        </w:rPr>
        <w:t xml:space="preserve"> TL olarak gerçekleşmiş ve gerçekleşen bütçeye oranı   % </w:t>
      </w:r>
      <w:r w:rsidR="00823AEA">
        <w:rPr>
          <w:color w:val="000000" w:themeColor="text1"/>
        </w:rPr>
        <w:t>43</w:t>
      </w: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  <w:r w:rsidRPr="008E5313">
        <w:rPr>
          <w:b/>
          <w:color w:val="000000" w:themeColor="text1"/>
        </w:rPr>
        <w:t>Sermaye Gelirleri</w:t>
      </w:r>
      <w:r>
        <w:rPr>
          <w:b/>
          <w:color w:val="000000" w:themeColor="text1"/>
        </w:rPr>
        <w:t xml:space="preserve"> net</w:t>
      </w:r>
      <w:r w:rsidRPr="008E5313">
        <w:rPr>
          <w:color w:val="000000" w:themeColor="text1"/>
        </w:rPr>
        <w:t xml:space="preserve">, </w:t>
      </w:r>
      <w:r w:rsidR="00823AEA">
        <w:rPr>
          <w:color w:val="000000" w:themeColor="text1"/>
        </w:rPr>
        <w:t>5.078.689,38</w:t>
      </w:r>
      <w:r w:rsidRPr="008E5313">
        <w:rPr>
          <w:color w:val="000000" w:themeColor="text1"/>
        </w:rPr>
        <w:t xml:space="preserve"> TL olarak gerçekleşmiş ve gerçek</w:t>
      </w:r>
      <w:r w:rsidR="00823AEA">
        <w:rPr>
          <w:color w:val="000000" w:themeColor="text1"/>
        </w:rPr>
        <w:t xml:space="preserve">leşen bütçeye oranı  % 4 </w:t>
      </w:r>
      <w:r w:rsidRPr="008E5313">
        <w:rPr>
          <w:color w:val="000000" w:themeColor="text1"/>
        </w:rPr>
        <w:t>olduğu tespit edilmiştir.</w:t>
      </w: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  <w:r w:rsidRPr="008E5313">
        <w:rPr>
          <w:color w:val="000000" w:themeColor="text1"/>
        </w:rPr>
        <w:t>201</w:t>
      </w:r>
      <w:r w:rsidR="00823AEA">
        <w:rPr>
          <w:color w:val="000000" w:themeColor="text1"/>
        </w:rPr>
        <w:t>9</w:t>
      </w:r>
      <w:r w:rsidRPr="008E5313">
        <w:rPr>
          <w:color w:val="000000" w:themeColor="text1"/>
        </w:rPr>
        <w:t xml:space="preserve"> yılsonu itibarı ile </w:t>
      </w:r>
      <w:r w:rsidR="00823AEA">
        <w:rPr>
          <w:color w:val="000000" w:themeColor="text1"/>
        </w:rPr>
        <w:t>127.543.112,54</w:t>
      </w:r>
      <w:r w:rsidRPr="008E5313">
        <w:rPr>
          <w:color w:val="000000" w:themeColor="text1"/>
        </w:rPr>
        <w:t xml:space="preserve"> TL</w:t>
      </w:r>
      <w:r>
        <w:rPr>
          <w:color w:val="000000" w:themeColor="text1"/>
        </w:rPr>
        <w:t xml:space="preserve"> brüt </w:t>
      </w:r>
      <w:r w:rsidRPr="008E5313">
        <w:rPr>
          <w:color w:val="000000" w:themeColor="text1"/>
        </w:rPr>
        <w:t xml:space="preserve">gelir elde edilmiş ve bu gelirlerden </w:t>
      </w:r>
      <w:r w:rsidR="00823AEA">
        <w:rPr>
          <w:color w:val="000000" w:themeColor="text1"/>
        </w:rPr>
        <w:t>419.133,28</w:t>
      </w:r>
      <w:r w:rsidRPr="008E5313">
        <w:rPr>
          <w:color w:val="000000" w:themeColor="text1"/>
        </w:rPr>
        <w:t xml:space="preserve"> </w:t>
      </w:r>
      <w:proofErr w:type="gramStart"/>
      <w:r w:rsidRPr="008E5313">
        <w:rPr>
          <w:color w:val="000000" w:themeColor="text1"/>
        </w:rPr>
        <w:t>TL  ret</w:t>
      </w:r>
      <w:proofErr w:type="gramEnd"/>
      <w:r w:rsidRPr="008E5313">
        <w:rPr>
          <w:color w:val="000000" w:themeColor="text1"/>
        </w:rPr>
        <w:t xml:space="preserve"> ve iade yapıldıktan sonra  </w:t>
      </w:r>
      <w:r w:rsidR="00823AEA">
        <w:rPr>
          <w:color w:val="000000" w:themeColor="text1"/>
        </w:rPr>
        <w:t>127.123.979,26</w:t>
      </w:r>
      <w:r w:rsidRPr="008E5313">
        <w:rPr>
          <w:color w:val="000000" w:themeColor="text1"/>
        </w:rPr>
        <w:t xml:space="preserve"> TL net gelir elde edilmiştir. </w:t>
      </w:r>
      <w:proofErr w:type="gramStart"/>
      <w:r w:rsidRPr="008E5313">
        <w:rPr>
          <w:color w:val="000000" w:themeColor="text1"/>
        </w:rPr>
        <w:t>Gerçekleşen  net</w:t>
      </w:r>
      <w:proofErr w:type="gramEnd"/>
      <w:r w:rsidRPr="008E5313">
        <w:rPr>
          <w:color w:val="000000" w:themeColor="text1"/>
        </w:rPr>
        <w:t xml:space="preserve"> gelirin bü</w:t>
      </w:r>
      <w:r w:rsidR="00823AEA">
        <w:rPr>
          <w:color w:val="000000" w:themeColor="text1"/>
        </w:rPr>
        <w:t>tçeye oranı % 85</w:t>
      </w:r>
      <w:r>
        <w:rPr>
          <w:color w:val="000000" w:themeColor="text1"/>
        </w:rPr>
        <w:t>’dir</w:t>
      </w:r>
      <w:r w:rsidRPr="008E5313">
        <w:rPr>
          <w:color w:val="000000" w:themeColor="text1"/>
        </w:rPr>
        <w:t>.</w:t>
      </w: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  <w:r w:rsidRPr="008E5313">
        <w:rPr>
          <w:b/>
          <w:color w:val="000000" w:themeColor="text1"/>
        </w:rPr>
        <w:t xml:space="preserve">Gider bütçesinde; </w:t>
      </w:r>
      <w:r w:rsidRPr="008E5313">
        <w:rPr>
          <w:color w:val="000000" w:themeColor="text1"/>
        </w:rPr>
        <w:t xml:space="preserve">ana kalemleri, yıl </w:t>
      </w:r>
      <w:proofErr w:type="gramStart"/>
      <w:r w:rsidRPr="008E5313">
        <w:rPr>
          <w:color w:val="000000" w:themeColor="text1"/>
        </w:rPr>
        <w:t>sonu  itibariyle</w:t>
      </w:r>
      <w:proofErr w:type="gramEnd"/>
      <w:r w:rsidRPr="008E5313">
        <w:rPr>
          <w:color w:val="000000" w:themeColor="text1"/>
        </w:rPr>
        <w:t xml:space="preserve"> net ödemeleri ve gerçekleşme oranları aşağıda  verilmiştir. </w:t>
      </w: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567"/>
        <w:jc w:val="both"/>
        <w:rPr>
          <w:color w:val="000000" w:themeColor="text1"/>
        </w:rPr>
      </w:pPr>
      <w:r w:rsidRPr="008E5313">
        <w:rPr>
          <w:b/>
          <w:color w:val="000000" w:themeColor="text1"/>
        </w:rPr>
        <w:lastRenderedPageBreak/>
        <w:t>Personel giderleri</w:t>
      </w:r>
      <w:r w:rsidRPr="008E5313">
        <w:rPr>
          <w:color w:val="000000" w:themeColor="text1"/>
        </w:rPr>
        <w:t xml:space="preserve"> </w:t>
      </w:r>
      <w:r w:rsidRPr="008E5313">
        <w:rPr>
          <w:b/>
          <w:color w:val="000000" w:themeColor="text1"/>
        </w:rPr>
        <w:t>için</w:t>
      </w:r>
      <w:r w:rsidRPr="008E5313">
        <w:rPr>
          <w:color w:val="000000" w:themeColor="text1"/>
        </w:rPr>
        <w:t xml:space="preserve"> </w:t>
      </w:r>
      <w:r w:rsidR="00823AEA">
        <w:rPr>
          <w:color w:val="000000" w:themeColor="text1"/>
        </w:rPr>
        <w:t>24.146.148,53</w:t>
      </w:r>
      <w:r w:rsidRPr="008E5313">
        <w:rPr>
          <w:color w:val="000000" w:themeColor="text1"/>
        </w:rPr>
        <w:t xml:space="preserve"> TL harcama yapıldığı ve </w:t>
      </w:r>
      <w:r w:rsidR="00823AEA">
        <w:rPr>
          <w:color w:val="000000" w:themeColor="text1"/>
        </w:rPr>
        <w:t>gerçekleşen bütçeye oranının % 20</w:t>
      </w:r>
      <w:r w:rsidRPr="008E5313">
        <w:rPr>
          <w:color w:val="000000" w:themeColor="text1"/>
        </w:rPr>
        <w:t xml:space="preserve"> olduğu,</w:t>
      </w:r>
    </w:p>
    <w:p w:rsidR="005D4406" w:rsidRPr="008E5313" w:rsidRDefault="005D4406" w:rsidP="005D4406">
      <w:pPr>
        <w:pStyle w:val="NormalWeb"/>
        <w:spacing w:before="0" w:beforeAutospacing="0" w:after="0"/>
        <w:ind w:firstLine="567"/>
        <w:jc w:val="both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  <w:r w:rsidRPr="008E5313">
        <w:rPr>
          <w:b/>
          <w:color w:val="000000" w:themeColor="text1"/>
        </w:rPr>
        <w:t>Sosyal Güvenlik Kurumlarına ödemeler için</w:t>
      </w:r>
      <w:r w:rsidRPr="008E5313">
        <w:rPr>
          <w:color w:val="000000" w:themeColor="text1"/>
        </w:rPr>
        <w:t xml:space="preserve"> </w:t>
      </w:r>
      <w:r w:rsidR="00823AEA">
        <w:rPr>
          <w:color w:val="000000" w:themeColor="text1"/>
        </w:rPr>
        <w:t>3.834.153,39</w:t>
      </w:r>
      <w:r w:rsidRPr="008E5313">
        <w:rPr>
          <w:color w:val="000000" w:themeColor="text1"/>
        </w:rPr>
        <w:t xml:space="preserve"> TL harcama y</w:t>
      </w:r>
      <w:r w:rsidR="00823AEA">
        <w:rPr>
          <w:color w:val="000000" w:themeColor="text1"/>
        </w:rPr>
        <w:t>apıldığı ve bütçeye oranının % 3</w:t>
      </w:r>
      <w:r w:rsidRPr="008E5313">
        <w:rPr>
          <w:color w:val="000000" w:themeColor="text1"/>
        </w:rPr>
        <w:t xml:space="preserve"> olduğu,</w:t>
      </w: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  <w:r w:rsidRPr="008E5313">
        <w:rPr>
          <w:color w:val="000000" w:themeColor="text1"/>
        </w:rPr>
        <w:t xml:space="preserve"> </w:t>
      </w:r>
      <w:r w:rsidRPr="008E5313">
        <w:rPr>
          <w:b/>
          <w:color w:val="000000" w:themeColor="text1"/>
        </w:rPr>
        <w:t>Mal ve Hizmet Alımları için</w:t>
      </w:r>
      <w:r w:rsidRPr="008E5313">
        <w:rPr>
          <w:color w:val="000000" w:themeColor="text1"/>
        </w:rPr>
        <w:t xml:space="preserve"> </w:t>
      </w:r>
      <w:r w:rsidR="00823AEA">
        <w:rPr>
          <w:color w:val="000000" w:themeColor="text1"/>
        </w:rPr>
        <w:t>75.032.451,94</w:t>
      </w:r>
      <w:r w:rsidRPr="008E5313">
        <w:rPr>
          <w:color w:val="000000" w:themeColor="text1"/>
        </w:rPr>
        <w:t xml:space="preserve"> TL harcama yapıldığı ve gerçekleşen bütçeye oranının % </w:t>
      </w:r>
      <w:r w:rsidR="00823AEA">
        <w:rPr>
          <w:color w:val="000000" w:themeColor="text1"/>
        </w:rPr>
        <w:t>62</w:t>
      </w:r>
      <w:r w:rsidRPr="008E5313">
        <w:rPr>
          <w:color w:val="000000" w:themeColor="text1"/>
        </w:rPr>
        <w:t xml:space="preserve"> olduğu, </w:t>
      </w: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  <w:r w:rsidRPr="008E5313">
        <w:rPr>
          <w:b/>
          <w:color w:val="000000" w:themeColor="text1"/>
        </w:rPr>
        <w:t>Faiz Giderleri için</w:t>
      </w:r>
      <w:r w:rsidR="00823AEA">
        <w:rPr>
          <w:color w:val="000000" w:themeColor="text1"/>
        </w:rPr>
        <w:t xml:space="preserve"> 10.526.711,39</w:t>
      </w:r>
      <w:r w:rsidRPr="008E5313">
        <w:rPr>
          <w:color w:val="000000" w:themeColor="text1"/>
        </w:rPr>
        <w:t xml:space="preserve"> TL harcama yapıldığı ve gerçekleşen bütçeye oranının % </w:t>
      </w:r>
      <w:r w:rsidR="00FB18A5">
        <w:rPr>
          <w:color w:val="000000" w:themeColor="text1"/>
        </w:rPr>
        <w:t>9</w:t>
      </w:r>
      <w:r w:rsidRPr="008E5313">
        <w:rPr>
          <w:color w:val="000000" w:themeColor="text1"/>
        </w:rPr>
        <w:t xml:space="preserve"> olduğu,</w:t>
      </w: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  <w:r w:rsidRPr="008E5313">
        <w:rPr>
          <w:b/>
          <w:color w:val="000000" w:themeColor="text1"/>
        </w:rPr>
        <w:t>Cari Transferler için</w:t>
      </w:r>
      <w:r w:rsidRPr="008E5313">
        <w:rPr>
          <w:color w:val="000000" w:themeColor="text1"/>
        </w:rPr>
        <w:t xml:space="preserve"> </w:t>
      </w:r>
      <w:r w:rsidR="006769E4">
        <w:rPr>
          <w:color w:val="000000" w:themeColor="text1"/>
        </w:rPr>
        <w:t>3.391.479,41</w:t>
      </w:r>
      <w:r w:rsidRPr="008E5313">
        <w:rPr>
          <w:color w:val="000000" w:themeColor="text1"/>
        </w:rPr>
        <w:t xml:space="preserve"> TL harcama yapıldığı ve </w:t>
      </w:r>
      <w:r w:rsidR="006769E4">
        <w:rPr>
          <w:color w:val="000000" w:themeColor="text1"/>
        </w:rPr>
        <w:t>gerçekleşen bütçeye oranının % 3</w:t>
      </w:r>
      <w:r w:rsidRPr="008E5313">
        <w:rPr>
          <w:color w:val="000000" w:themeColor="text1"/>
        </w:rPr>
        <w:t xml:space="preserve"> olduğu, </w:t>
      </w: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  <w:r w:rsidRPr="008E5313">
        <w:rPr>
          <w:b/>
          <w:color w:val="000000" w:themeColor="text1"/>
        </w:rPr>
        <w:t>Sermaye Giderleri için</w:t>
      </w:r>
      <w:r w:rsidRPr="008E5313">
        <w:rPr>
          <w:color w:val="000000" w:themeColor="text1"/>
        </w:rPr>
        <w:t xml:space="preserve"> </w:t>
      </w:r>
      <w:r w:rsidR="006769E4">
        <w:rPr>
          <w:color w:val="000000" w:themeColor="text1"/>
        </w:rPr>
        <w:t>4.314.171,00</w:t>
      </w:r>
      <w:r w:rsidRPr="008E5313">
        <w:rPr>
          <w:color w:val="000000" w:themeColor="text1"/>
        </w:rPr>
        <w:t xml:space="preserve"> TL harcama yapıldığı ve bütçeye oranının % </w:t>
      </w:r>
      <w:r w:rsidR="006769E4">
        <w:rPr>
          <w:color w:val="000000" w:themeColor="text1"/>
        </w:rPr>
        <w:t>4</w:t>
      </w:r>
      <w:r w:rsidRPr="008E5313">
        <w:rPr>
          <w:color w:val="000000" w:themeColor="text1"/>
        </w:rPr>
        <w:t xml:space="preserve"> olduğu, </w:t>
      </w: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  <w:r w:rsidRPr="008E5313">
        <w:rPr>
          <w:b/>
          <w:color w:val="000000" w:themeColor="text1"/>
        </w:rPr>
        <w:t>Borç Verme için</w:t>
      </w:r>
      <w:r w:rsidRPr="008E5313">
        <w:rPr>
          <w:color w:val="000000" w:themeColor="text1"/>
        </w:rPr>
        <w:t xml:space="preserve"> harcama yapılmadığı görülmüştür. </w:t>
      </w: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539"/>
        <w:jc w:val="both"/>
        <w:rPr>
          <w:color w:val="000000" w:themeColor="text1"/>
        </w:rPr>
        <w:sectPr w:rsidR="005D4406" w:rsidRPr="008E5313" w:rsidSect="007520E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964" w:right="1418" w:bottom="964" w:left="1418" w:header="709" w:footer="709" w:gutter="0"/>
          <w:cols w:space="708"/>
        </w:sectPr>
      </w:pPr>
      <w:r w:rsidRPr="008E5313">
        <w:rPr>
          <w:color w:val="000000" w:themeColor="text1"/>
        </w:rPr>
        <w:t>201</w:t>
      </w:r>
      <w:r w:rsidR="006769E4">
        <w:rPr>
          <w:color w:val="000000" w:themeColor="text1"/>
        </w:rPr>
        <w:t>9</w:t>
      </w:r>
      <w:r w:rsidRPr="008E5313">
        <w:rPr>
          <w:color w:val="000000" w:themeColor="text1"/>
        </w:rPr>
        <w:t xml:space="preserve"> yıl</w:t>
      </w:r>
      <w:r w:rsidR="006769E4">
        <w:rPr>
          <w:color w:val="000000" w:themeColor="text1"/>
        </w:rPr>
        <w:t>ı gider bütçesinin toplamında 121.245.115,66</w:t>
      </w:r>
      <w:r w:rsidRPr="008E5313">
        <w:rPr>
          <w:color w:val="000000" w:themeColor="text1"/>
        </w:rPr>
        <w:t xml:space="preserve"> TL harcama yapıldığı ve bu harcamanın bütçeye oranının % </w:t>
      </w:r>
      <w:r w:rsidR="006769E4">
        <w:rPr>
          <w:color w:val="000000" w:themeColor="text1"/>
        </w:rPr>
        <w:t>8</w:t>
      </w:r>
      <w:r>
        <w:rPr>
          <w:color w:val="000000" w:themeColor="text1"/>
        </w:rPr>
        <w:t>1</w:t>
      </w:r>
      <w:r w:rsidRPr="008E5313">
        <w:rPr>
          <w:color w:val="000000" w:themeColor="text1"/>
        </w:rPr>
        <w:t xml:space="preserve"> olarak gerçekleştiği tespit edilmiştir.</w:t>
      </w:r>
    </w:p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color w:val="000000" w:themeColor="text1"/>
        </w:rPr>
      </w:pPr>
      <w:r w:rsidRPr="008E5313">
        <w:rPr>
          <w:color w:val="000000" w:themeColor="text1"/>
        </w:rPr>
        <w:lastRenderedPageBreak/>
        <w:t>Belediyemizin giderlerinin müdürlükler bazında ödenek ve harcamalarının dağılımını gösteren tabloya raporumuzda yer verilmiş ayrıca bir açıklamaya ihtiyaç duyulmamıştır.</w:t>
      </w:r>
    </w:p>
    <w:p w:rsidR="005D4406" w:rsidRPr="008E5313" w:rsidRDefault="005D4406" w:rsidP="005D440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1559"/>
        <w:gridCol w:w="1418"/>
        <w:gridCol w:w="1559"/>
        <w:gridCol w:w="1701"/>
        <w:gridCol w:w="1559"/>
        <w:gridCol w:w="1276"/>
        <w:gridCol w:w="1701"/>
      </w:tblGrid>
      <w:tr w:rsidR="005D4406" w:rsidRPr="008E5313" w:rsidTr="007520E3">
        <w:trPr>
          <w:trHeight w:val="4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06" w:rsidRPr="008E5313" w:rsidRDefault="005D4406" w:rsidP="00752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BİRİMLER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06" w:rsidRPr="008E5313" w:rsidRDefault="005D4406" w:rsidP="0075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BÜTÇE</w:t>
            </w:r>
          </w:p>
          <w:p w:rsidR="005D4406" w:rsidRPr="008E5313" w:rsidRDefault="005D4406" w:rsidP="0075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VERİLEN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06" w:rsidRPr="008E5313" w:rsidRDefault="005D4406" w:rsidP="0075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EKLENEN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06" w:rsidRPr="008E5313" w:rsidRDefault="005D4406" w:rsidP="0075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DÜŞÜLEN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06" w:rsidRPr="008E5313" w:rsidRDefault="005D4406" w:rsidP="0075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NET </w:t>
            </w:r>
            <w:proofErr w:type="gramStart"/>
            <w:r w:rsidRPr="008E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BÜTÇE  ÖDENEĞİ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06" w:rsidRPr="008E5313" w:rsidRDefault="005D4406" w:rsidP="0075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HARCAMA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06" w:rsidRPr="008E5313" w:rsidRDefault="005D4406" w:rsidP="0075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HARCAMA ORANI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06" w:rsidRPr="008E5313" w:rsidRDefault="005D4406" w:rsidP="0075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HARCAMANIN GERÇ. GİDERE ORANI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Kalem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1.810.260,00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461.910,76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2.272.170,76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1.466.691,29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1,2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İnsan Kaynakları ve Eğitim Md.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38.840.330,00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5.282.982,68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4.702.000,00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6769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39.421.312,68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36.033.650,98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2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9,7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Kültür ve Sosyal İşler Md.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4.588.281,00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1.752.641,26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832.706,88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5.505215,38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4.577.084,99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2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Basın </w:t>
            </w:r>
            <w:proofErr w:type="gramStart"/>
            <w:r w:rsidRPr="008E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Yayın  Md</w:t>
            </w:r>
            <w:proofErr w:type="gramEnd"/>
            <w:r w:rsidRPr="008E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1.265.495,00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1.825.843,33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3.091.338,33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1.470.601,61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2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1,2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Bilgi İşlem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76.464,00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 İşleri</w:t>
            </w:r>
            <w:r w:rsidRPr="008E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2.373.820,00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499.424,40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210.700,00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2.662.544,40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2.270.641,03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1,8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Teftiş Kurulu</w:t>
            </w:r>
            <w:r w:rsidRPr="008E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1444F6" w:rsidRDefault="00793563" w:rsidP="00746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6">
              <w:rPr>
                <w:rFonts w:ascii="Times New Roman" w:hAnsi="Times New Roman" w:cs="Times New Roman"/>
                <w:sz w:val="20"/>
                <w:szCs w:val="20"/>
              </w:rPr>
              <w:t xml:space="preserve">        324.050,00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4F6">
              <w:rPr>
                <w:rFonts w:ascii="Times New Roman" w:hAnsi="Times New Roman" w:cs="Times New Roman"/>
                <w:sz w:val="20"/>
                <w:szCs w:val="20"/>
              </w:rPr>
              <w:t xml:space="preserve">        324.050,00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110.290,01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2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,09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Strateji Geliştirme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327.850,00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327.850,00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0,02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Hukuk İşleri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1.136.145,00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22.830,60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1.158.975,60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770.613,22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0,6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Halkla İlişkiler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1.910.815,00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1.045.843,33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1.724.971,67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1.724.971,67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Fen İşleri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23.164.142,00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6.457.544,02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4.010.000,00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25.611.686,02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18.415.446,46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15,1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Mali Hizmetler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30.696.417,00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11.567.693,88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20.777.367,73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21.486.743,15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16.483.311,81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13,5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İmar ve Şehircilik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2.999.680,00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429.757,23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3.359.437,23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2.576.312,81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2,1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Park ve Bahçeler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5.538.005,00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190.488,69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5.553.493,69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3.110.443,14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İşleri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1.646.165,00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619.126,40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2.265.291,40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1.447.191,69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1,1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Destek Hizmetleri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8.293.445,00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3.612.229,67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1.218.000,00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10.687.674,67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9.657.658,86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7,9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Temizlik İşleri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18.766.155,00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18.766.155,00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15.617.409,58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12,8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 İşleri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493.900,00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7.204,40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206.330,80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294.773,60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294.773,60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Zabıta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4.077.855,00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246.457,33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4.318.312,33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3.733.523,82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Muhtarlık İşleri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1.132.230,00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655.494,00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665.428,38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1.122.295,62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1.122.295,62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0,9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Tesisler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108.330,00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108.330,00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Dış İlişkiler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111.135,00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111.135,00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İşletme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484.615,00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4.784,34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233.690,87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255.708,47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255.708,47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75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İşletme ve İştirakler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109.685,00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109.685,00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75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3563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63" w:rsidRPr="008E5313" w:rsidRDefault="00793563" w:rsidP="00752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Arşiv Müdürlüğü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461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111.195,00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111.195,00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8E5313" w:rsidRDefault="00793563" w:rsidP="0075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3" w:rsidRPr="006A62DC" w:rsidRDefault="00793563" w:rsidP="0075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4406" w:rsidRPr="008E5313" w:rsidTr="007520E3">
        <w:trPr>
          <w:trHeight w:val="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06" w:rsidRPr="008E5313" w:rsidRDefault="005D4406" w:rsidP="00752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53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Toplam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06" w:rsidRPr="008E5313" w:rsidRDefault="00CB790F" w:rsidP="00144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150.310.000,00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06" w:rsidRPr="008E5313" w:rsidRDefault="00CB790F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34847.412,99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06" w:rsidRPr="008E5313" w:rsidRDefault="00CB790F" w:rsidP="00CB79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34847.412,99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06" w:rsidRPr="008E5313" w:rsidRDefault="00CB790F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150.310.000,00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06" w:rsidRPr="008E5313" w:rsidRDefault="00CB790F" w:rsidP="007520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121.245.115,66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06" w:rsidRPr="008E5313" w:rsidRDefault="00CB790F" w:rsidP="00752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06" w:rsidRPr="008E5313" w:rsidRDefault="00CB790F" w:rsidP="0075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5D4406" w:rsidRPr="008E5313" w:rsidRDefault="005D4406" w:rsidP="005D4406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color w:val="000000" w:themeColor="text1"/>
        </w:rPr>
        <w:sectPr w:rsidR="005D4406" w:rsidRPr="008E5313" w:rsidSect="007520E3">
          <w:pgSz w:w="15840" w:h="12240" w:orient="landscape" w:code="1"/>
          <w:pgMar w:top="1418" w:right="964" w:bottom="1418" w:left="964" w:header="709" w:footer="709" w:gutter="0"/>
          <w:cols w:space="708"/>
        </w:sectPr>
      </w:pPr>
    </w:p>
    <w:p w:rsidR="005D4406" w:rsidRPr="008E5313" w:rsidRDefault="005D4406" w:rsidP="005D44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53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Gelirlerin, Belediye Gelirleri Kanununda belirlenen usul ve esaslar çerçevesinde tahsil edildiği,</w:t>
      </w:r>
    </w:p>
    <w:p w:rsidR="005D4406" w:rsidRPr="008E5313" w:rsidRDefault="005D4406" w:rsidP="005D44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5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Gider bütçesinde ise;</w:t>
      </w:r>
      <w:r w:rsidRPr="008E5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gerçekleşen rakamlara bakıldığında ödenek üstü harcama yapılmadığı, ihtiyaç duyulan ödenek tertiplerine, ödeneğinin fazla geleceği anlaşılan tertiplerden toplam </w:t>
      </w:r>
      <w:r w:rsidR="007461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34.847.412,99</w:t>
      </w:r>
      <w:r w:rsidRPr="00A400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TL</w:t>
      </w:r>
      <w:r w:rsidRPr="008E5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aktarma yapıldığı, gelecek yıla herhangi bir ödenek devredilmediği görülmüştür.</w:t>
      </w:r>
    </w:p>
    <w:p w:rsidR="005D4406" w:rsidRPr="008E5313" w:rsidRDefault="005D4406" w:rsidP="005D440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4406" w:rsidRDefault="005D4406" w:rsidP="005D44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5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5C5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8E5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yılı kesin hesabı üzerinde yapılan incelemelerde;</w:t>
      </w:r>
      <w:r w:rsidRPr="008E5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Belediyemizin emanetler hesabında yıl sonu itibariyle, yapı denetim ücreti hariç toplam </w:t>
      </w:r>
      <w:r w:rsidR="0074613C">
        <w:rPr>
          <w:rFonts w:ascii="Times New Roman" w:hAnsi="Times New Roman" w:cs="Times New Roman"/>
          <w:color w:val="000000" w:themeColor="text1"/>
          <w:sz w:val="24"/>
          <w:szCs w:val="24"/>
        </w:rPr>
        <w:t>47.956.585,26</w:t>
      </w:r>
      <w:r w:rsidRPr="008E5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TL kaydın bulunduğu, söz konusu kaydın </w:t>
      </w:r>
      <w:r w:rsidR="0074613C">
        <w:rPr>
          <w:rFonts w:ascii="Times New Roman" w:hAnsi="Times New Roman" w:cs="Times New Roman"/>
          <w:color w:val="000000" w:themeColor="text1"/>
          <w:sz w:val="24"/>
          <w:szCs w:val="24"/>
        </w:rPr>
        <w:t>4.361.917,12</w:t>
      </w:r>
      <w:r w:rsidRPr="008E5313">
        <w:rPr>
          <w:rFonts w:ascii="Times New Roman" w:hAnsi="Times New Roman" w:cs="Times New Roman"/>
          <w:color w:val="000000" w:themeColor="text1"/>
          <w:sz w:val="24"/>
          <w:szCs w:val="24"/>
        </w:rPr>
        <w:t>TL’si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</w:t>
      </w:r>
      <w:r w:rsidRPr="008E5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genel olarak önceki yıllara ait yapılandırılmış devlet borçları tutarları, </w:t>
      </w:r>
      <w:r w:rsidR="0074613C">
        <w:rPr>
          <w:rFonts w:ascii="Times New Roman" w:hAnsi="Times New Roman" w:cs="Times New Roman"/>
          <w:color w:val="000000" w:themeColor="text1"/>
          <w:sz w:val="24"/>
          <w:szCs w:val="24"/>
        </w:rPr>
        <w:t>28.217.818,01</w:t>
      </w:r>
      <w:r w:rsidRPr="008E5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TL’sini ise bütçe emaneti ve kalan </w:t>
      </w:r>
      <w:r w:rsidR="0074613C">
        <w:rPr>
          <w:rFonts w:ascii="Times New Roman" w:hAnsi="Times New Roman" w:cs="Times New Roman"/>
          <w:color w:val="000000" w:themeColor="text1"/>
          <w:sz w:val="24"/>
          <w:szCs w:val="24"/>
        </w:rPr>
        <w:t>15.376.850,13</w:t>
      </w:r>
      <w:r w:rsidRPr="008E5313">
        <w:rPr>
          <w:rFonts w:ascii="Times New Roman" w:hAnsi="Times New Roman" w:cs="Times New Roman"/>
          <w:color w:val="000000" w:themeColor="text1"/>
          <w:sz w:val="24"/>
          <w:szCs w:val="24"/>
        </w:rPr>
        <w:t>TL’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r w:rsidRPr="008E5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 de resmi kurum, teminat, depozit, niteliği belli </w:t>
      </w:r>
      <w:proofErr w:type="gramStart"/>
      <w:r w:rsidRPr="008E5313">
        <w:rPr>
          <w:rFonts w:ascii="Times New Roman" w:hAnsi="Times New Roman" w:cs="Times New Roman"/>
          <w:color w:val="000000" w:themeColor="text1"/>
          <w:sz w:val="24"/>
          <w:szCs w:val="24"/>
        </w:rPr>
        <w:t>olmayan  paralar</w:t>
      </w:r>
      <w:proofErr w:type="gramEnd"/>
      <w:r w:rsidRPr="008E5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vb. emanet kayıtlarından oluştuğu görülmüştür.</w:t>
      </w:r>
      <w:r w:rsidR="00746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Ancak yine ayrıntılı tetkiklerimizde bu emanete kayda alınan tutarların nakit yetersizliği veya ödemeler dengesindeki bozukluktan kaynaklanmadığı yılın son günlerinde bütçe gideri olarak gerçekleşen ancak; kayda alınanların 2019 yılının ilk aylarında ödenmek üzere emanete alındığı tespit edilmiş ve 2020 yılının ilk aylarında ödendiği görülmüştür. </w:t>
      </w:r>
    </w:p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b/>
          <w:color w:val="000000" w:themeColor="text1"/>
        </w:rPr>
      </w:pPr>
      <w:r w:rsidRPr="008E5313">
        <w:rPr>
          <w:b/>
          <w:color w:val="000000" w:themeColor="text1"/>
        </w:rPr>
        <w:t>Kesin hesap mizan cetvellerinde belirtildiği üzere 201</w:t>
      </w:r>
      <w:r>
        <w:rPr>
          <w:b/>
          <w:color w:val="000000" w:themeColor="text1"/>
        </w:rPr>
        <w:t>9</w:t>
      </w:r>
      <w:r w:rsidRPr="008E5313">
        <w:rPr>
          <w:b/>
          <w:color w:val="000000" w:themeColor="text1"/>
        </w:rPr>
        <w:t xml:space="preserve"> yılına devreden bankalar mevcudunun ise aşağıdaki gibi </w:t>
      </w:r>
      <w:proofErr w:type="gramStart"/>
      <w:r w:rsidRPr="008E5313">
        <w:rPr>
          <w:b/>
          <w:color w:val="000000" w:themeColor="text1"/>
        </w:rPr>
        <w:t>olduğu  tespit</w:t>
      </w:r>
      <w:proofErr w:type="gramEnd"/>
      <w:r w:rsidRPr="008E5313">
        <w:rPr>
          <w:b/>
          <w:color w:val="000000" w:themeColor="text1"/>
        </w:rPr>
        <w:t xml:space="preserve"> edilmiştir. </w:t>
      </w:r>
    </w:p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b/>
          <w:color w:val="000000" w:themeColor="text1"/>
        </w:rPr>
      </w:pPr>
    </w:p>
    <w:tbl>
      <w:tblPr>
        <w:tblStyle w:val="TabloKlavuzu"/>
        <w:tblW w:w="0" w:type="auto"/>
        <w:tblLook w:val="04A0"/>
      </w:tblPr>
      <w:tblGrid>
        <w:gridCol w:w="703"/>
        <w:gridCol w:w="5813"/>
        <w:gridCol w:w="3657"/>
      </w:tblGrid>
      <w:tr w:rsidR="005D4406" w:rsidRPr="008E5313" w:rsidTr="007520E3">
        <w:tc>
          <w:tcPr>
            <w:tcW w:w="703" w:type="dxa"/>
          </w:tcPr>
          <w:p w:rsidR="005D4406" w:rsidRPr="008E5313" w:rsidRDefault="005D4406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 w:rsidRPr="008E5313">
              <w:rPr>
                <w:b/>
                <w:color w:val="000000" w:themeColor="text1"/>
              </w:rPr>
              <w:t>S.No</w:t>
            </w:r>
          </w:p>
        </w:tc>
        <w:tc>
          <w:tcPr>
            <w:tcW w:w="5813" w:type="dxa"/>
          </w:tcPr>
          <w:p w:rsidR="005D4406" w:rsidRPr="008E5313" w:rsidRDefault="005D4406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 w:rsidRPr="008E5313">
              <w:rPr>
                <w:b/>
                <w:color w:val="000000" w:themeColor="text1"/>
              </w:rPr>
              <w:t>Banka Adı</w:t>
            </w:r>
          </w:p>
        </w:tc>
        <w:tc>
          <w:tcPr>
            <w:tcW w:w="3657" w:type="dxa"/>
          </w:tcPr>
          <w:p w:rsidR="005D4406" w:rsidRPr="008E5313" w:rsidRDefault="005D4406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 w:rsidRPr="008E5313">
              <w:rPr>
                <w:b/>
                <w:color w:val="000000" w:themeColor="text1"/>
              </w:rPr>
              <w:t>Tutarı</w:t>
            </w:r>
          </w:p>
        </w:tc>
      </w:tr>
      <w:tr w:rsidR="005D4406" w:rsidRPr="008E5313" w:rsidTr="007520E3">
        <w:tc>
          <w:tcPr>
            <w:tcW w:w="703" w:type="dxa"/>
          </w:tcPr>
          <w:p w:rsidR="005D4406" w:rsidRPr="008E5313" w:rsidRDefault="005D4406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5813" w:type="dxa"/>
          </w:tcPr>
          <w:p w:rsidR="005D4406" w:rsidRPr="008E5313" w:rsidRDefault="005D4406" w:rsidP="007520E3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Vakıfbank Maaş Hesabı</w:t>
            </w:r>
          </w:p>
        </w:tc>
        <w:tc>
          <w:tcPr>
            <w:tcW w:w="3657" w:type="dxa"/>
          </w:tcPr>
          <w:p w:rsidR="005D4406" w:rsidRPr="008E5313" w:rsidRDefault="005D4406" w:rsidP="007520E3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</w:tr>
      <w:tr w:rsidR="005D4406" w:rsidRPr="008E5313" w:rsidTr="007520E3">
        <w:tc>
          <w:tcPr>
            <w:tcW w:w="703" w:type="dxa"/>
          </w:tcPr>
          <w:p w:rsidR="005D4406" w:rsidRPr="008E5313" w:rsidRDefault="005D4406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5813" w:type="dxa"/>
          </w:tcPr>
          <w:p w:rsidR="005D4406" w:rsidRPr="008E5313" w:rsidRDefault="00677D47" w:rsidP="007520E3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Vakıfbank Mera Hesabı</w:t>
            </w:r>
          </w:p>
        </w:tc>
        <w:tc>
          <w:tcPr>
            <w:tcW w:w="3657" w:type="dxa"/>
          </w:tcPr>
          <w:p w:rsidR="005D4406" w:rsidRPr="008E5313" w:rsidRDefault="00677D47" w:rsidP="00677D47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10,96</w:t>
            </w:r>
          </w:p>
        </w:tc>
      </w:tr>
      <w:tr w:rsidR="00677D47" w:rsidRPr="008E5313" w:rsidTr="007520E3">
        <w:tc>
          <w:tcPr>
            <w:tcW w:w="703" w:type="dxa"/>
          </w:tcPr>
          <w:p w:rsidR="00677D47" w:rsidRPr="008E5313" w:rsidRDefault="00677D47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5813" w:type="dxa"/>
          </w:tcPr>
          <w:p w:rsidR="00677D47" w:rsidRPr="008E5313" w:rsidRDefault="00677D47" w:rsidP="00677D47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 w:rsidRPr="008E5313">
              <w:rPr>
                <w:color w:val="000000" w:themeColor="text1"/>
              </w:rPr>
              <w:t>Vakıfbank Yapı Den</w:t>
            </w:r>
            <w:r>
              <w:rPr>
                <w:color w:val="000000" w:themeColor="text1"/>
              </w:rPr>
              <w:t>etim Hesabı</w:t>
            </w:r>
          </w:p>
        </w:tc>
        <w:tc>
          <w:tcPr>
            <w:tcW w:w="3657" w:type="dxa"/>
          </w:tcPr>
          <w:p w:rsidR="00677D47" w:rsidRPr="008E5313" w:rsidRDefault="00677D47" w:rsidP="00677D47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795.625,96</w:t>
            </w:r>
          </w:p>
        </w:tc>
      </w:tr>
      <w:tr w:rsidR="00677D47" w:rsidRPr="008E5313" w:rsidTr="007520E3">
        <w:tc>
          <w:tcPr>
            <w:tcW w:w="703" w:type="dxa"/>
          </w:tcPr>
          <w:p w:rsidR="00677D47" w:rsidRPr="008E5313" w:rsidRDefault="00677D47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5813" w:type="dxa"/>
          </w:tcPr>
          <w:p w:rsidR="00677D47" w:rsidRPr="008E5313" w:rsidRDefault="00677D47" w:rsidP="00677D47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proofErr w:type="gramStart"/>
            <w:r w:rsidRPr="008E5313">
              <w:rPr>
                <w:color w:val="000000" w:themeColor="text1"/>
              </w:rPr>
              <w:t xml:space="preserve">Vakıfbank </w:t>
            </w:r>
            <w:r>
              <w:rPr>
                <w:color w:val="000000" w:themeColor="text1"/>
              </w:rPr>
              <w:t xml:space="preserve"> Cari</w:t>
            </w:r>
            <w:proofErr w:type="gramEnd"/>
            <w:r>
              <w:rPr>
                <w:color w:val="000000" w:themeColor="text1"/>
              </w:rPr>
              <w:t xml:space="preserve"> Hesap</w:t>
            </w:r>
          </w:p>
        </w:tc>
        <w:tc>
          <w:tcPr>
            <w:tcW w:w="3657" w:type="dxa"/>
          </w:tcPr>
          <w:p w:rsidR="00677D47" w:rsidRPr="008E5313" w:rsidRDefault="00677D47" w:rsidP="00677D47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50.719,93</w:t>
            </w:r>
          </w:p>
        </w:tc>
      </w:tr>
      <w:tr w:rsidR="00677D47" w:rsidRPr="008E5313" w:rsidTr="007520E3">
        <w:tc>
          <w:tcPr>
            <w:tcW w:w="703" w:type="dxa"/>
          </w:tcPr>
          <w:p w:rsidR="00677D47" w:rsidRPr="008E5313" w:rsidRDefault="00677D47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5813" w:type="dxa"/>
          </w:tcPr>
          <w:p w:rsidR="00677D47" w:rsidRPr="008E5313" w:rsidRDefault="00677D47" w:rsidP="00677D47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 w:rsidRPr="008E5313">
              <w:rPr>
                <w:color w:val="000000" w:themeColor="text1"/>
              </w:rPr>
              <w:t>Vakıfbank</w:t>
            </w:r>
            <w:r>
              <w:rPr>
                <w:color w:val="000000" w:themeColor="text1"/>
              </w:rPr>
              <w:t xml:space="preserve"> Pos Cihazı Normal</w:t>
            </w:r>
          </w:p>
        </w:tc>
        <w:tc>
          <w:tcPr>
            <w:tcW w:w="3657" w:type="dxa"/>
          </w:tcPr>
          <w:p w:rsidR="00677D47" w:rsidRPr="008E5313" w:rsidRDefault="00677D47" w:rsidP="00677D47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122.674,08</w:t>
            </w:r>
          </w:p>
        </w:tc>
      </w:tr>
      <w:tr w:rsidR="00677D47" w:rsidRPr="008E5313" w:rsidTr="007520E3">
        <w:tc>
          <w:tcPr>
            <w:tcW w:w="703" w:type="dxa"/>
          </w:tcPr>
          <w:p w:rsidR="00677D47" w:rsidRPr="008E5313" w:rsidRDefault="00677D47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5813" w:type="dxa"/>
          </w:tcPr>
          <w:p w:rsidR="00677D47" w:rsidRPr="008E5313" w:rsidRDefault="00677D47" w:rsidP="00677D47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 w:rsidRPr="008E5313">
              <w:rPr>
                <w:color w:val="000000" w:themeColor="text1"/>
              </w:rPr>
              <w:t>Vakıfbank</w:t>
            </w:r>
            <w:r>
              <w:rPr>
                <w:color w:val="000000" w:themeColor="text1"/>
              </w:rPr>
              <w:t xml:space="preserve"> Pos Cihazı Sanal</w:t>
            </w:r>
          </w:p>
        </w:tc>
        <w:tc>
          <w:tcPr>
            <w:tcW w:w="3657" w:type="dxa"/>
          </w:tcPr>
          <w:p w:rsidR="00677D47" w:rsidRPr="008E5313" w:rsidRDefault="00677D47" w:rsidP="00677D47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189.699,02</w:t>
            </w:r>
          </w:p>
        </w:tc>
      </w:tr>
      <w:tr w:rsidR="00677D47" w:rsidRPr="008E5313" w:rsidTr="007520E3">
        <w:tc>
          <w:tcPr>
            <w:tcW w:w="703" w:type="dxa"/>
          </w:tcPr>
          <w:p w:rsidR="00677D47" w:rsidRPr="008E5313" w:rsidRDefault="00677D47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5813" w:type="dxa"/>
          </w:tcPr>
          <w:p w:rsidR="00677D47" w:rsidRPr="008E5313" w:rsidRDefault="00677D47" w:rsidP="00677D47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Halk Bankası Yatırım Hesabı</w:t>
            </w:r>
          </w:p>
        </w:tc>
        <w:tc>
          <w:tcPr>
            <w:tcW w:w="3657" w:type="dxa"/>
          </w:tcPr>
          <w:p w:rsidR="00677D47" w:rsidRPr="008E5313" w:rsidRDefault="00677D47" w:rsidP="00677D47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3F4872">
              <w:rPr>
                <w:color w:val="000000" w:themeColor="text1"/>
              </w:rPr>
              <w:t>,0</w:t>
            </w:r>
            <w:r>
              <w:rPr>
                <w:color w:val="000000" w:themeColor="text1"/>
              </w:rPr>
              <w:t>0</w:t>
            </w:r>
          </w:p>
        </w:tc>
      </w:tr>
      <w:tr w:rsidR="00677D47" w:rsidRPr="008E5313" w:rsidTr="007520E3">
        <w:tc>
          <w:tcPr>
            <w:tcW w:w="703" w:type="dxa"/>
          </w:tcPr>
          <w:p w:rsidR="00677D47" w:rsidRPr="008E5313" w:rsidRDefault="00677D47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5813" w:type="dxa"/>
          </w:tcPr>
          <w:p w:rsidR="00677D47" w:rsidRDefault="00677D47" w:rsidP="00677D47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Vakıfbank Yatırım Hesabı</w:t>
            </w:r>
          </w:p>
        </w:tc>
        <w:tc>
          <w:tcPr>
            <w:tcW w:w="3657" w:type="dxa"/>
          </w:tcPr>
          <w:p w:rsidR="00677D47" w:rsidRPr="008E5313" w:rsidRDefault="00677D47" w:rsidP="00677D47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250.929,15</w:t>
            </w:r>
          </w:p>
        </w:tc>
      </w:tr>
      <w:tr w:rsidR="00677D47" w:rsidRPr="008E5313" w:rsidTr="007520E3">
        <w:tc>
          <w:tcPr>
            <w:tcW w:w="703" w:type="dxa"/>
          </w:tcPr>
          <w:p w:rsidR="00677D47" w:rsidRPr="008E5313" w:rsidRDefault="00677D47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5813" w:type="dxa"/>
          </w:tcPr>
          <w:p w:rsidR="00677D47" w:rsidRDefault="00677D47" w:rsidP="00677D47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Halk Bankası Vergi Gelirleri</w:t>
            </w:r>
          </w:p>
        </w:tc>
        <w:tc>
          <w:tcPr>
            <w:tcW w:w="3657" w:type="dxa"/>
          </w:tcPr>
          <w:p w:rsidR="00677D47" w:rsidRPr="008E5313" w:rsidRDefault="00677D47" w:rsidP="00677D47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100.933,74</w:t>
            </w:r>
          </w:p>
        </w:tc>
      </w:tr>
      <w:tr w:rsidR="00677D47" w:rsidRPr="008E5313" w:rsidTr="007520E3">
        <w:tc>
          <w:tcPr>
            <w:tcW w:w="703" w:type="dxa"/>
          </w:tcPr>
          <w:p w:rsidR="00677D47" w:rsidRPr="008E5313" w:rsidRDefault="00677D47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5813" w:type="dxa"/>
          </w:tcPr>
          <w:p w:rsidR="00677D47" w:rsidRPr="008E5313" w:rsidRDefault="00677D47" w:rsidP="00677D47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Halk Bankası Cari Hesap</w:t>
            </w:r>
          </w:p>
        </w:tc>
        <w:tc>
          <w:tcPr>
            <w:tcW w:w="3657" w:type="dxa"/>
          </w:tcPr>
          <w:p w:rsidR="00677D47" w:rsidRPr="008E5313" w:rsidRDefault="00677D47" w:rsidP="00677D47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551.581,06</w:t>
            </w:r>
          </w:p>
        </w:tc>
      </w:tr>
      <w:tr w:rsidR="00677D47" w:rsidRPr="008E5313" w:rsidTr="007520E3">
        <w:tc>
          <w:tcPr>
            <w:tcW w:w="703" w:type="dxa"/>
          </w:tcPr>
          <w:p w:rsidR="00677D47" w:rsidRPr="008E5313" w:rsidRDefault="00677D47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5813" w:type="dxa"/>
          </w:tcPr>
          <w:p w:rsidR="00677D47" w:rsidRPr="008E5313" w:rsidRDefault="00677D47" w:rsidP="00677D47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Vakıfbank Günlük Vadeli Mevduat Hesabı</w:t>
            </w:r>
          </w:p>
        </w:tc>
        <w:tc>
          <w:tcPr>
            <w:tcW w:w="3657" w:type="dxa"/>
          </w:tcPr>
          <w:p w:rsidR="00677D47" w:rsidRPr="008E5313" w:rsidRDefault="003F4872" w:rsidP="003F4872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10.062.383,46</w:t>
            </w:r>
          </w:p>
        </w:tc>
      </w:tr>
      <w:tr w:rsidR="00677D47" w:rsidRPr="008E5313" w:rsidTr="007520E3">
        <w:tc>
          <w:tcPr>
            <w:tcW w:w="703" w:type="dxa"/>
          </w:tcPr>
          <w:p w:rsidR="00677D47" w:rsidRPr="008E5313" w:rsidRDefault="00677D47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5813" w:type="dxa"/>
          </w:tcPr>
          <w:p w:rsidR="00677D47" w:rsidRPr="008E5313" w:rsidRDefault="003F4872" w:rsidP="00677D47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Halk Bankası Online </w:t>
            </w:r>
            <w:proofErr w:type="spellStart"/>
            <w:r>
              <w:rPr>
                <w:color w:val="000000" w:themeColor="text1"/>
              </w:rPr>
              <w:t>Tahs</w:t>
            </w:r>
            <w:proofErr w:type="spellEnd"/>
            <w:r>
              <w:rPr>
                <w:color w:val="000000" w:themeColor="text1"/>
              </w:rPr>
              <w:t xml:space="preserve">. Hesabı </w:t>
            </w:r>
          </w:p>
        </w:tc>
        <w:tc>
          <w:tcPr>
            <w:tcW w:w="3657" w:type="dxa"/>
          </w:tcPr>
          <w:p w:rsidR="00677D47" w:rsidRPr="008E5313" w:rsidRDefault="003F4872" w:rsidP="00677D47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285.716,61</w:t>
            </w:r>
          </w:p>
        </w:tc>
      </w:tr>
      <w:tr w:rsidR="003F4872" w:rsidRPr="008E5313" w:rsidTr="007520E3">
        <w:tc>
          <w:tcPr>
            <w:tcW w:w="703" w:type="dxa"/>
          </w:tcPr>
          <w:p w:rsidR="003F4872" w:rsidRPr="008E5313" w:rsidRDefault="003F4872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</w:p>
        </w:tc>
        <w:tc>
          <w:tcPr>
            <w:tcW w:w="5813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Vakıfbank Vergi Gelirleri</w:t>
            </w:r>
          </w:p>
        </w:tc>
        <w:tc>
          <w:tcPr>
            <w:tcW w:w="3657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1.298.944,69</w:t>
            </w:r>
          </w:p>
        </w:tc>
      </w:tr>
      <w:tr w:rsidR="003F4872" w:rsidRPr="008E5313" w:rsidTr="007520E3">
        <w:tc>
          <w:tcPr>
            <w:tcW w:w="703" w:type="dxa"/>
          </w:tcPr>
          <w:p w:rsidR="003F4872" w:rsidRPr="008E5313" w:rsidRDefault="003F4872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</w:p>
        </w:tc>
        <w:tc>
          <w:tcPr>
            <w:tcW w:w="5813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Vakıfbank Fon Pay Hesabı</w:t>
            </w:r>
          </w:p>
        </w:tc>
        <w:tc>
          <w:tcPr>
            <w:tcW w:w="3657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0,15</w:t>
            </w:r>
          </w:p>
        </w:tc>
      </w:tr>
      <w:tr w:rsidR="003F4872" w:rsidRPr="008E5313" w:rsidTr="007520E3">
        <w:tc>
          <w:tcPr>
            <w:tcW w:w="703" w:type="dxa"/>
          </w:tcPr>
          <w:p w:rsidR="003F4872" w:rsidRPr="008E5313" w:rsidRDefault="003F4872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  <w:tc>
          <w:tcPr>
            <w:tcW w:w="5813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Vakıfbank E.T.V. Hesabı</w:t>
            </w:r>
          </w:p>
        </w:tc>
        <w:tc>
          <w:tcPr>
            <w:tcW w:w="3657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7.811,21</w:t>
            </w:r>
          </w:p>
        </w:tc>
      </w:tr>
      <w:tr w:rsidR="003F4872" w:rsidRPr="008E5313" w:rsidTr="007520E3">
        <w:tc>
          <w:tcPr>
            <w:tcW w:w="703" w:type="dxa"/>
          </w:tcPr>
          <w:p w:rsidR="003F4872" w:rsidRPr="008E5313" w:rsidRDefault="003F4872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  <w:tc>
          <w:tcPr>
            <w:tcW w:w="5813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Halk Bankası Yatırım Hesabı</w:t>
            </w:r>
          </w:p>
        </w:tc>
        <w:tc>
          <w:tcPr>
            <w:tcW w:w="3657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</w:tr>
      <w:tr w:rsidR="003F4872" w:rsidRPr="008E5313" w:rsidTr="007520E3">
        <w:tc>
          <w:tcPr>
            <w:tcW w:w="703" w:type="dxa"/>
          </w:tcPr>
          <w:p w:rsidR="003F4872" w:rsidRPr="008E5313" w:rsidRDefault="003F4872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</w:p>
        </w:tc>
        <w:tc>
          <w:tcPr>
            <w:tcW w:w="5813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Ziraat Bankası Gölbaşı </w:t>
            </w:r>
            <w:proofErr w:type="spellStart"/>
            <w:r>
              <w:rPr>
                <w:color w:val="000000" w:themeColor="text1"/>
              </w:rPr>
              <w:t>Şb</w:t>
            </w:r>
            <w:proofErr w:type="spellEnd"/>
            <w:r>
              <w:rPr>
                <w:color w:val="000000" w:themeColor="text1"/>
              </w:rPr>
              <w:t>. (Selametli)</w:t>
            </w:r>
          </w:p>
        </w:tc>
        <w:tc>
          <w:tcPr>
            <w:tcW w:w="3657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</w:tr>
      <w:tr w:rsidR="003F4872" w:rsidRPr="008E5313" w:rsidTr="007520E3">
        <w:tc>
          <w:tcPr>
            <w:tcW w:w="703" w:type="dxa"/>
          </w:tcPr>
          <w:p w:rsidR="003F4872" w:rsidRPr="008E5313" w:rsidRDefault="003F4872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5813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Halk Bankası Gölbaşı </w:t>
            </w:r>
            <w:proofErr w:type="spellStart"/>
            <w:r>
              <w:rPr>
                <w:color w:val="000000" w:themeColor="text1"/>
              </w:rPr>
              <w:t>Şb</w:t>
            </w:r>
            <w:proofErr w:type="spellEnd"/>
            <w:r>
              <w:rPr>
                <w:color w:val="000000" w:themeColor="text1"/>
              </w:rPr>
              <w:t>. (Selametli)</w:t>
            </w:r>
          </w:p>
        </w:tc>
        <w:tc>
          <w:tcPr>
            <w:tcW w:w="3657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</w:tr>
      <w:tr w:rsidR="003F4872" w:rsidRPr="008E5313" w:rsidTr="007520E3">
        <w:tc>
          <w:tcPr>
            <w:tcW w:w="703" w:type="dxa"/>
          </w:tcPr>
          <w:p w:rsidR="003F4872" w:rsidRPr="008E5313" w:rsidRDefault="003F4872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</w:p>
        </w:tc>
        <w:tc>
          <w:tcPr>
            <w:tcW w:w="5813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Ziraat Bankası Batıkent </w:t>
            </w:r>
            <w:proofErr w:type="spellStart"/>
            <w:r>
              <w:rPr>
                <w:color w:val="000000" w:themeColor="text1"/>
              </w:rPr>
              <w:t>Şb</w:t>
            </w:r>
            <w:proofErr w:type="spellEnd"/>
            <w:r>
              <w:rPr>
                <w:color w:val="000000" w:themeColor="text1"/>
              </w:rPr>
              <w:t>. (Oyaca)</w:t>
            </w:r>
          </w:p>
        </w:tc>
        <w:tc>
          <w:tcPr>
            <w:tcW w:w="3657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24,91</w:t>
            </w:r>
          </w:p>
        </w:tc>
      </w:tr>
      <w:tr w:rsidR="003F4872" w:rsidRPr="008E5313" w:rsidTr="007520E3">
        <w:tc>
          <w:tcPr>
            <w:tcW w:w="703" w:type="dxa"/>
          </w:tcPr>
          <w:p w:rsidR="003F4872" w:rsidRPr="008E5313" w:rsidRDefault="003F4872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</w:p>
        </w:tc>
        <w:tc>
          <w:tcPr>
            <w:tcW w:w="5813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Ziraat Bankası Gölbaşı </w:t>
            </w:r>
            <w:proofErr w:type="spellStart"/>
            <w:r>
              <w:rPr>
                <w:color w:val="000000" w:themeColor="text1"/>
              </w:rPr>
              <w:t>Şb</w:t>
            </w:r>
            <w:proofErr w:type="spellEnd"/>
            <w:r>
              <w:rPr>
                <w:color w:val="000000" w:themeColor="text1"/>
              </w:rPr>
              <w:t>. (Oyaca)</w:t>
            </w:r>
          </w:p>
        </w:tc>
        <w:tc>
          <w:tcPr>
            <w:tcW w:w="3657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</w:tr>
      <w:tr w:rsidR="003F4872" w:rsidRPr="008E5313" w:rsidTr="007520E3">
        <w:tc>
          <w:tcPr>
            <w:tcW w:w="703" w:type="dxa"/>
          </w:tcPr>
          <w:p w:rsidR="003F4872" w:rsidRPr="008E5313" w:rsidRDefault="003F4872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</w:t>
            </w:r>
          </w:p>
        </w:tc>
        <w:tc>
          <w:tcPr>
            <w:tcW w:w="5813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Ziraat Bankası</w:t>
            </w:r>
          </w:p>
        </w:tc>
        <w:tc>
          <w:tcPr>
            <w:tcW w:w="3657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</w:tr>
      <w:tr w:rsidR="003F4872" w:rsidRPr="008E5313" w:rsidTr="007520E3">
        <w:tc>
          <w:tcPr>
            <w:tcW w:w="703" w:type="dxa"/>
          </w:tcPr>
          <w:p w:rsidR="003F4872" w:rsidRDefault="003F4872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813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Halk </w:t>
            </w:r>
            <w:proofErr w:type="gramStart"/>
            <w:r>
              <w:rPr>
                <w:color w:val="000000" w:themeColor="text1"/>
              </w:rPr>
              <w:t>Bankası  Kredi</w:t>
            </w:r>
            <w:proofErr w:type="gramEnd"/>
            <w:r>
              <w:rPr>
                <w:color w:val="000000" w:themeColor="text1"/>
              </w:rPr>
              <w:t xml:space="preserve"> Kartı</w:t>
            </w:r>
          </w:p>
        </w:tc>
        <w:tc>
          <w:tcPr>
            <w:tcW w:w="3657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290,00</w:t>
            </w:r>
          </w:p>
        </w:tc>
      </w:tr>
      <w:tr w:rsidR="003F4872" w:rsidRPr="008E5313" w:rsidTr="007520E3">
        <w:tc>
          <w:tcPr>
            <w:tcW w:w="703" w:type="dxa"/>
          </w:tcPr>
          <w:p w:rsidR="003F4872" w:rsidRDefault="003F4872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813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Halk Bankası İŞKUR </w:t>
            </w:r>
            <w:proofErr w:type="gramStart"/>
            <w:r>
              <w:rPr>
                <w:color w:val="000000" w:themeColor="text1"/>
              </w:rPr>
              <w:t>(</w:t>
            </w:r>
            <w:proofErr w:type="gramEnd"/>
            <w:r>
              <w:rPr>
                <w:color w:val="000000" w:themeColor="text1"/>
              </w:rPr>
              <w:t xml:space="preserve">Top. </w:t>
            </w:r>
            <w:proofErr w:type="gramStart"/>
            <w:r>
              <w:rPr>
                <w:color w:val="000000" w:themeColor="text1"/>
              </w:rPr>
              <w:t>Yar.</w:t>
            </w:r>
            <w:proofErr w:type="spellStart"/>
            <w:r>
              <w:rPr>
                <w:color w:val="000000" w:themeColor="text1"/>
              </w:rPr>
              <w:t>Hs</w:t>
            </w:r>
            <w:proofErr w:type="spellEnd"/>
            <w:proofErr w:type="gramEnd"/>
            <w:r>
              <w:rPr>
                <w:color w:val="000000" w:themeColor="text1"/>
              </w:rPr>
              <w:t>)</w:t>
            </w:r>
          </w:p>
        </w:tc>
        <w:tc>
          <w:tcPr>
            <w:tcW w:w="3657" w:type="dxa"/>
          </w:tcPr>
          <w:p w:rsidR="003F4872" w:rsidRPr="008E5313" w:rsidRDefault="003F4872" w:rsidP="003F4872">
            <w:pPr>
              <w:pStyle w:val="NormalWeb"/>
              <w:spacing w:before="0" w:beforeAutospacing="0"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</w:tr>
      <w:tr w:rsidR="003F4872" w:rsidRPr="008E5313" w:rsidTr="007520E3">
        <w:tc>
          <w:tcPr>
            <w:tcW w:w="703" w:type="dxa"/>
          </w:tcPr>
          <w:p w:rsidR="003F4872" w:rsidRPr="008E5313" w:rsidRDefault="003F4872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813" w:type="dxa"/>
          </w:tcPr>
          <w:p w:rsidR="003F4872" w:rsidRPr="008E5313" w:rsidRDefault="003F4872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</w:rPr>
            </w:pPr>
            <w:r w:rsidRPr="008E5313">
              <w:rPr>
                <w:b/>
                <w:color w:val="000000" w:themeColor="text1"/>
              </w:rPr>
              <w:t>TOPLAM</w:t>
            </w:r>
          </w:p>
        </w:tc>
        <w:tc>
          <w:tcPr>
            <w:tcW w:w="3657" w:type="dxa"/>
          </w:tcPr>
          <w:p w:rsidR="003F4872" w:rsidRPr="008E5313" w:rsidRDefault="003F4872" w:rsidP="007520E3">
            <w:pPr>
              <w:pStyle w:val="NormalWeb"/>
              <w:spacing w:before="0" w:beforeAutospacing="0" w:after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13.717.344,93</w:t>
            </w:r>
          </w:p>
        </w:tc>
      </w:tr>
    </w:tbl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b/>
          <w:color w:val="000000" w:themeColor="text1"/>
        </w:rPr>
      </w:pPr>
    </w:p>
    <w:p w:rsidR="005D4406" w:rsidRDefault="005D4406" w:rsidP="005D4406">
      <w:pPr>
        <w:pStyle w:val="NormalWeb"/>
        <w:spacing w:before="0" w:beforeAutospacing="0" w:after="0"/>
        <w:ind w:firstLine="709"/>
        <w:jc w:val="both"/>
        <w:rPr>
          <w:color w:val="000000" w:themeColor="text1"/>
        </w:rPr>
      </w:pPr>
    </w:p>
    <w:p w:rsidR="00EA28E2" w:rsidRDefault="00EA28E2" w:rsidP="005D4406">
      <w:pPr>
        <w:pStyle w:val="NormalWeb"/>
        <w:spacing w:before="0" w:beforeAutospacing="0" w:after="0"/>
        <w:ind w:firstLine="709"/>
        <w:jc w:val="both"/>
        <w:rPr>
          <w:color w:val="000000" w:themeColor="text1"/>
        </w:rPr>
      </w:pPr>
    </w:p>
    <w:p w:rsidR="00EA28E2" w:rsidRDefault="00EA28E2" w:rsidP="005D4406">
      <w:pPr>
        <w:pStyle w:val="NormalWeb"/>
        <w:spacing w:before="0" w:beforeAutospacing="0" w:after="0"/>
        <w:ind w:firstLine="709"/>
        <w:jc w:val="both"/>
        <w:rPr>
          <w:color w:val="000000" w:themeColor="text1"/>
        </w:rPr>
      </w:pPr>
    </w:p>
    <w:p w:rsidR="00EA28E2" w:rsidRDefault="00EA28E2" w:rsidP="005D4406">
      <w:pPr>
        <w:pStyle w:val="NormalWeb"/>
        <w:spacing w:before="0" w:beforeAutospacing="0" w:after="0"/>
        <w:ind w:firstLine="709"/>
        <w:jc w:val="both"/>
        <w:rPr>
          <w:color w:val="000000" w:themeColor="text1"/>
        </w:rPr>
      </w:pPr>
    </w:p>
    <w:p w:rsidR="00EA28E2" w:rsidRPr="008E5313" w:rsidRDefault="00EA28E2" w:rsidP="005D4406">
      <w:pPr>
        <w:pStyle w:val="NormalWeb"/>
        <w:spacing w:before="0" w:beforeAutospacing="0" w:after="0"/>
        <w:ind w:firstLine="709"/>
        <w:jc w:val="both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709"/>
        <w:jc w:val="both"/>
        <w:rPr>
          <w:color w:val="000000" w:themeColor="text1"/>
        </w:rPr>
      </w:pPr>
      <w:r w:rsidRPr="008E5313">
        <w:rPr>
          <w:color w:val="000000" w:themeColor="text1"/>
        </w:rPr>
        <w:lastRenderedPageBreak/>
        <w:t>Belediyemizin 201</w:t>
      </w:r>
      <w:r w:rsidR="005C5812">
        <w:rPr>
          <w:color w:val="000000" w:themeColor="text1"/>
        </w:rPr>
        <w:t>9</w:t>
      </w:r>
      <w:r w:rsidRPr="008E5313">
        <w:rPr>
          <w:color w:val="000000" w:themeColor="text1"/>
        </w:rPr>
        <w:t xml:space="preserve"> yılı kesin hesabı ile ilgili gelir ve giderlere ilişkin tablolar aşağıda çıkarılmıştır.</w:t>
      </w:r>
    </w:p>
    <w:p w:rsidR="005D4406" w:rsidRPr="008E5313" w:rsidRDefault="005D4406" w:rsidP="005D4406">
      <w:pPr>
        <w:pStyle w:val="NormalWeb"/>
        <w:spacing w:before="0" w:beforeAutospacing="0" w:after="0"/>
        <w:ind w:firstLine="709"/>
        <w:jc w:val="both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709"/>
        <w:jc w:val="both"/>
        <w:rPr>
          <w:color w:val="000000" w:themeColor="text1"/>
        </w:rPr>
      </w:pPr>
      <w:r w:rsidRPr="008E5313">
        <w:rPr>
          <w:color w:val="000000" w:themeColor="text1"/>
        </w:rPr>
        <w:t>Belediyemizin 201</w:t>
      </w:r>
      <w:r w:rsidR="005C5812">
        <w:rPr>
          <w:color w:val="000000" w:themeColor="text1"/>
        </w:rPr>
        <w:t>9</w:t>
      </w:r>
      <w:r w:rsidRPr="008E5313">
        <w:rPr>
          <w:color w:val="000000" w:themeColor="text1"/>
        </w:rPr>
        <w:t xml:space="preserve"> yılı içerisinde yapmış olduğu net tahsilâtlar ile tahsilâtın bütçede öngörülen gelire oranı ve gerçekleşen gelire oranını gösteren tablo aşağıda gösterilmiştir.</w:t>
      </w:r>
    </w:p>
    <w:p w:rsidR="005D4406" w:rsidRPr="008E5313" w:rsidRDefault="005D4406" w:rsidP="005D4406">
      <w:pPr>
        <w:pStyle w:val="NormalWeb"/>
        <w:spacing w:before="0" w:beforeAutospacing="0" w:after="0"/>
        <w:ind w:firstLine="709"/>
        <w:jc w:val="both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709"/>
        <w:jc w:val="both"/>
        <w:rPr>
          <w:color w:val="000000" w:themeColor="text1"/>
        </w:rPr>
      </w:pPr>
    </w:p>
    <w:tbl>
      <w:tblPr>
        <w:tblW w:w="10065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3686"/>
        <w:gridCol w:w="1559"/>
        <w:gridCol w:w="1418"/>
        <w:gridCol w:w="1559"/>
        <w:gridCol w:w="1843"/>
      </w:tblGrid>
      <w:tr w:rsidR="005D4406" w:rsidRPr="008E5313" w:rsidTr="007520E3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406" w:rsidRPr="008E5313" w:rsidRDefault="005D4406" w:rsidP="007520E3">
            <w:pPr>
              <w:pStyle w:val="NormalWeb"/>
              <w:spacing w:before="0" w:beforeAutospacing="0" w:after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5313">
              <w:rPr>
                <w:b/>
                <w:color w:val="000000" w:themeColor="text1"/>
                <w:sz w:val="20"/>
                <w:szCs w:val="20"/>
              </w:rPr>
              <w:t>GELİR KALEMLERİ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406" w:rsidRPr="008E5313" w:rsidRDefault="005D4406" w:rsidP="007520E3">
            <w:pPr>
              <w:pStyle w:val="NormalWeb"/>
              <w:spacing w:before="0" w:beforeAutospacing="0"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8E5313">
              <w:rPr>
                <w:color w:val="000000" w:themeColor="text1"/>
                <w:sz w:val="18"/>
                <w:szCs w:val="18"/>
              </w:rPr>
              <w:t>BÜTÇEDE ÖN GÖRÜLEN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406" w:rsidRPr="008E5313" w:rsidRDefault="005D4406" w:rsidP="007520E3">
            <w:pPr>
              <w:pStyle w:val="NormalWeb"/>
              <w:spacing w:before="0" w:beforeAutospacing="0"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8E5313">
              <w:rPr>
                <w:color w:val="000000" w:themeColor="text1"/>
                <w:sz w:val="18"/>
                <w:szCs w:val="18"/>
              </w:rPr>
              <w:t>YILI TAHAKKUKU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406" w:rsidRPr="008E5313" w:rsidRDefault="005D4406" w:rsidP="007520E3">
            <w:pPr>
              <w:pStyle w:val="NormalWeb"/>
              <w:spacing w:before="0" w:beforeAutospacing="0"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8E5313">
              <w:rPr>
                <w:color w:val="000000" w:themeColor="text1"/>
                <w:sz w:val="18"/>
                <w:szCs w:val="18"/>
              </w:rPr>
              <w:t xml:space="preserve">NET </w:t>
            </w:r>
            <w:proofErr w:type="gramStart"/>
            <w:r w:rsidRPr="008E5313">
              <w:rPr>
                <w:color w:val="000000" w:themeColor="text1"/>
                <w:sz w:val="18"/>
                <w:szCs w:val="18"/>
              </w:rPr>
              <w:t>TAHSİLAT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406" w:rsidRPr="008E5313" w:rsidRDefault="005D4406" w:rsidP="007520E3">
            <w:pPr>
              <w:pStyle w:val="NormalWeb"/>
              <w:spacing w:before="0" w:beforeAutospacing="0" w:after="0"/>
              <w:jc w:val="both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8E5313">
              <w:rPr>
                <w:color w:val="000000" w:themeColor="text1"/>
                <w:sz w:val="18"/>
                <w:szCs w:val="18"/>
              </w:rPr>
              <w:t>TAHSİLATIN</w:t>
            </w:r>
            <w:proofErr w:type="gramEnd"/>
            <w:r w:rsidRPr="008E5313">
              <w:rPr>
                <w:color w:val="000000" w:themeColor="text1"/>
                <w:sz w:val="18"/>
                <w:szCs w:val="18"/>
              </w:rPr>
              <w:t xml:space="preserve"> GERÇEKLEŞEN GELİRE ORANI %</w:t>
            </w:r>
          </w:p>
        </w:tc>
      </w:tr>
    </w:tbl>
    <w:p w:rsidR="005D4406" w:rsidRPr="008E5313" w:rsidRDefault="005D4406" w:rsidP="005D4406">
      <w:pPr>
        <w:spacing w:after="0" w:line="240" w:lineRule="auto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86"/>
        <w:gridCol w:w="1559"/>
        <w:gridCol w:w="1390"/>
        <w:gridCol w:w="1587"/>
        <w:gridCol w:w="1843"/>
      </w:tblGrid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01-Vergi Gelirleri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67.480.000,00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6867C8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71.613.682,11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8E5313" w:rsidRDefault="00054774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62.970.904,90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88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</w:rPr>
              <w:t>01-2 Mülkiyet Üz. Al. Vergiler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42.500.000,00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6867C8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58.329.904,51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50.137.158,92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</w:rPr>
              <w:t xml:space="preserve">01-3 Dâhilde Alınan Mal Ve Hizmet Vergileri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4.900.000,00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6867C8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7.434.269,06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7.399.256,19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99,5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</w:rPr>
              <w:t xml:space="preserve">01-6 Harçlar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20.080.000,00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6867C8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5.849.501,54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5.434.482,79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03-Teşebbüs Ve Mülkiyet Gelirleri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5.780.000,00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6867C8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4.265.847,21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4.387.639,32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102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</w:rPr>
              <w:t xml:space="preserve">03-1 Mal Ve Hizmet Satış Gelirleri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2.880.000,00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6867C8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1.392.429,13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1.392.429,13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</w:rPr>
              <w:t xml:space="preserve">03-6 Kira Gelirleri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2.900.000,00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6867C8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2.873.418,08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2.995.210,19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04-Alınan Bağış Ve Yardımlar İle Özel Gelirler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550.000,00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6867C8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154.000,00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154.000,00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</w:rPr>
              <w:t>04-4 Kurumlardan ve Kişilerden Alınan Bağış ve Yardımlar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6867C8" w:rsidRDefault="006867C8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154.000,00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1172E7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2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154.000,00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</w:rPr>
              <w:t>04-5 Proje Yardımları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65F9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05-Diğer Gelirler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48.890.000,00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6867C8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57.089.765,14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54.532.745,66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65F9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96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05-1 Faiz Gelirleri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2.010.000,00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6867C8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2.108.882,57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1.359.083,67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65F9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05-2 Kişi ve Kurumlardan Alınan Paylar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42.620.000,00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6867C8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48.419.016,32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48.103.099,20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65F9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05-3 Para Cezaları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4.890.000,00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6867C8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6.367.424,70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4.875.803,51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65F9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05-9 Diğer Çeşitli Gelirler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6867C8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194.441,55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194.759,28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65F9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06-Sermaye Gelirleri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27.000.000,00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6867C8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3.845.203,76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5.078.689,38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132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06-1 Taşınmaz Satış Gelirleri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0223EA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3E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27.000.000,00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6867C8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3.845.203,76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1172E7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2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5.078.689,38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65F9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53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09-Ret ve İadeler(-)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-390.000,00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65F9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53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09-1Vergi Gelirleri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-270.000,00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65F9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09-</w:t>
            </w:r>
            <w:r w:rsidRPr="008E53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3Teşebbüs ve Mülkiyet Gelirleri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-15.000,00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65F9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09-</w:t>
            </w:r>
            <w:r w:rsidRPr="008E53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 Diğer Gelirler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-105.000,00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8E5313" w:rsidRDefault="001172E7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65F9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5D4406" w:rsidRPr="008E5313" w:rsidTr="007520E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5D4406" w:rsidP="00E00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0223EA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150.310.000,00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6867C8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136.968.498,22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06" w:rsidRPr="008E5313" w:rsidRDefault="001165F9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127.123.979,26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06" w:rsidRPr="008E5313" w:rsidRDefault="001165F9" w:rsidP="00E003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93</w:t>
            </w:r>
          </w:p>
        </w:tc>
      </w:tr>
    </w:tbl>
    <w:p w:rsidR="005D4406" w:rsidRPr="008E5313" w:rsidRDefault="005D4406" w:rsidP="00E003A4">
      <w:pPr>
        <w:pStyle w:val="NormalWeb"/>
        <w:spacing w:before="0" w:beforeAutospacing="0" w:after="0"/>
        <w:ind w:firstLine="708"/>
        <w:rPr>
          <w:b/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b/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b/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b/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b/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b/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b/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color w:val="000000" w:themeColor="text1"/>
        </w:rPr>
      </w:pPr>
      <w:r w:rsidRPr="008E5313">
        <w:rPr>
          <w:b/>
          <w:color w:val="000000" w:themeColor="text1"/>
        </w:rPr>
        <w:t>Belediyemizin 201</w:t>
      </w:r>
      <w:r w:rsidR="005C5812">
        <w:rPr>
          <w:b/>
          <w:color w:val="000000" w:themeColor="text1"/>
        </w:rPr>
        <w:t>9</w:t>
      </w:r>
      <w:r w:rsidRPr="008E5313">
        <w:rPr>
          <w:b/>
          <w:color w:val="000000" w:themeColor="text1"/>
        </w:rPr>
        <w:t xml:space="preserve"> yılı içerisinde yapmış olduğu giderlerin türleri itibarı dağılım ve oranını gösterir tablo aşağıya çıkarılmıştır.</w:t>
      </w:r>
      <w:r w:rsidRPr="008E5313">
        <w:rPr>
          <w:color w:val="000000" w:themeColor="text1"/>
        </w:rPr>
        <w:t xml:space="preserve"> </w:t>
      </w:r>
    </w:p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color w:val="000000" w:themeColor="text1"/>
        </w:rPr>
      </w:pPr>
    </w:p>
    <w:tbl>
      <w:tblPr>
        <w:tblStyle w:val="TabloKlavuzu"/>
        <w:tblW w:w="10831" w:type="dxa"/>
        <w:tblLayout w:type="fixed"/>
        <w:tblLook w:val="04A0"/>
      </w:tblPr>
      <w:tblGrid>
        <w:gridCol w:w="1384"/>
        <w:gridCol w:w="1276"/>
        <w:gridCol w:w="1417"/>
        <w:gridCol w:w="1560"/>
        <w:gridCol w:w="1701"/>
        <w:gridCol w:w="1275"/>
        <w:gridCol w:w="1418"/>
        <w:gridCol w:w="800"/>
      </w:tblGrid>
      <w:tr w:rsidR="00FA2DB7" w:rsidRPr="008E5313" w:rsidTr="00FA2DB7">
        <w:trPr>
          <w:cantSplit/>
          <w:trHeight w:val="2001"/>
        </w:trPr>
        <w:tc>
          <w:tcPr>
            <w:tcW w:w="1384" w:type="dxa"/>
            <w:textDirection w:val="btLr"/>
          </w:tcPr>
          <w:p w:rsidR="00E003A4" w:rsidRDefault="00E003A4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03A4" w:rsidRDefault="00E003A4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A2DB7" w:rsidRPr="008E5313" w:rsidRDefault="00FA2DB7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8E5313">
              <w:rPr>
                <w:color w:val="000000" w:themeColor="text1"/>
                <w:sz w:val="20"/>
                <w:szCs w:val="20"/>
              </w:rPr>
              <w:t>Gider Türleri</w:t>
            </w:r>
          </w:p>
        </w:tc>
        <w:tc>
          <w:tcPr>
            <w:tcW w:w="1276" w:type="dxa"/>
            <w:textDirection w:val="btLr"/>
          </w:tcPr>
          <w:p w:rsidR="00E003A4" w:rsidRDefault="00E003A4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03A4" w:rsidRDefault="00E003A4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A2DB7" w:rsidRPr="008E5313" w:rsidRDefault="00FA2DB7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8E5313">
              <w:rPr>
                <w:color w:val="000000" w:themeColor="text1"/>
                <w:sz w:val="20"/>
                <w:szCs w:val="20"/>
              </w:rPr>
              <w:t>Bütçe Verilen</w:t>
            </w:r>
          </w:p>
        </w:tc>
        <w:tc>
          <w:tcPr>
            <w:tcW w:w="1417" w:type="dxa"/>
            <w:textDirection w:val="btLr"/>
          </w:tcPr>
          <w:p w:rsidR="00E003A4" w:rsidRDefault="00E003A4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03A4" w:rsidRDefault="00E003A4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A2DB7" w:rsidRPr="008E5313" w:rsidRDefault="00FA2DB7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Eklenen</w:t>
            </w:r>
          </w:p>
        </w:tc>
        <w:tc>
          <w:tcPr>
            <w:tcW w:w="1560" w:type="dxa"/>
            <w:textDirection w:val="btLr"/>
          </w:tcPr>
          <w:p w:rsidR="00E003A4" w:rsidRDefault="00E003A4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03A4" w:rsidRDefault="00E003A4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A2DB7" w:rsidRPr="008E5313" w:rsidRDefault="00FA2DB7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8E5313">
              <w:rPr>
                <w:color w:val="000000" w:themeColor="text1"/>
                <w:sz w:val="20"/>
                <w:szCs w:val="20"/>
              </w:rPr>
              <w:t>Düşülen</w:t>
            </w:r>
          </w:p>
        </w:tc>
        <w:tc>
          <w:tcPr>
            <w:tcW w:w="1701" w:type="dxa"/>
            <w:textDirection w:val="btLr"/>
          </w:tcPr>
          <w:p w:rsidR="00E003A4" w:rsidRDefault="00E003A4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03A4" w:rsidRDefault="00E003A4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A2DB7" w:rsidRPr="008E5313" w:rsidRDefault="00FA2DB7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8E5313">
              <w:rPr>
                <w:color w:val="000000" w:themeColor="text1"/>
                <w:sz w:val="20"/>
                <w:szCs w:val="20"/>
              </w:rPr>
              <w:t>Net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E5313">
              <w:rPr>
                <w:color w:val="000000" w:themeColor="text1"/>
                <w:sz w:val="20"/>
                <w:szCs w:val="20"/>
              </w:rPr>
              <w:t>Bütçe Ödeneği</w:t>
            </w:r>
          </w:p>
        </w:tc>
        <w:tc>
          <w:tcPr>
            <w:tcW w:w="1275" w:type="dxa"/>
            <w:textDirection w:val="btLr"/>
          </w:tcPr>
          <w:p w:rsidR="00E003A4" w:rsidRDefault="00E003A4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03A4" w:rsidRDefault="00E003A4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A2DB7" w:rsidRPr="008E5313" w:rsidRDefault="00FA2DB7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8E5313">
              <w:rPr>
                <w:color w:val="000000" w:themeColor="text1"/>
                <w:sz w:val="20"/>
                <w:szCs w:val="20"/>
              </w:rPr>
              <w:t>Harcama</w:t>
            </w:r>
          </w:p>
        </w:tc>
        <w:tc>
          <w:tcPr>
            <w:tcW w:w="1418" w:type="dxa"/>
            <w:textDirection w:val="btLr"/>
          </w:tcPr>
          <w:p w:rsidR="00E003A4" w:rsidRDefault="00E003A4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03A4" w:rsidRDefault="00E003A4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A2DB7" w:rsidRPr="008E5313" w:rsidRDefault="00FA2DB7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8E5313">
              <w:rPr>
                <w:color w:val="000000" w:themeColor="text1"/>
                <w:sz w:val="20"/>
                <w:szCs w:val="20"/>
              </w:rPr>
              <w:t>İmha Edilen Ödenek</w:t>
            </w:r>
          </w:p>
        </w:tc>
        <w:tc>
          <w:tcPr>
            <w:tcW w:w="800" w:type="dxa"/>
            <w:textDirection w:val="btLr"/>
          </w:tcPr>
          <w:p w:rsidR="00E003A4" w:rsidRDefault="00E003A4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A2DB7" w:rsidRPr="008E5313" w:rsidRDefault="00FA2DB7" w:rsidP="00E003A4">
            <w:pPr>
              <w:pStyle w:val="NormalWeb"/>
              <w:spacing w:before="0" w:beforeAutospacing="0" w:after="0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Harcama Oranı</w:t>
            </w:r>
          </w:p>
        </w:tc>
      </w:tr>
      <w:tr w:rsidR="00FA2DB7" w:rsidRPr="008E5313" w:rsidTr="00FA2DB7">
        <w:tc>
          <w:tcPr>
            <w:tcW w:w="1384" w:type="dxa"/>
            <w:vAlign w:val="bottom"/>
          </w:tcPr>
          <w:p w:rsidR="00FA2DB7" w:rsidRPr="008E5313" w:rsidRDefault="00FA2DB7" w:rsidP="007520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Personel Giderleri</w:t>
            </w:r>
          </w:p>
          <w:p w:rsidR="00FA2DB7" w:rsidRPr="008E5313" w:rsidRDefault="00FA2DB7" w:rsidP="007520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2DB7" w:rsidRPr="008E5313" w:rsidRDefault="00FA2DB7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27.823.129,00</w:t>
            </w:r>
          </w:p>
        </w:tc>
        <w:tc>
          <w:tcPr>
            <w:tcW w:w="1417" w:type="dxa"/>
          </w:tcPr>
          <w:p w:rsidR="00FA2DB7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2.351.037,25</w:t>
            </w:r>
          </w:p>
        </w:tc>
        <w:tc>
          <w:tcPr>
            <w:tcW w:w="1560" w:type="dxa"/>
          </w:tcPr>
          <w:p w:rsidR="00FA2DB7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1.123.558,95</w:t>
            </w:r>
          </w:p>
        </w:tc>
        <w:tc>
          <w:tcPr>
            <w:tcW w:w="1701" w:type="dxa"/>
          </w:tcPr>
          <w:p w:rsidR="00FA2DB7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29.050.607,30</w:t>
            </w:r>
          </w:p>
        </w:tc>
        <w:tc>
          <w:tcPr>
            <w:tcW w:w="1275" w:type="dxa"/>
          </w:tcPr>
          <w:p w:rsidR="00FA2DB7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24.146.18,53</w:t>
            </w:r>
          </w:p>
        </w:tc>
        <w:tc>
          <w:tcPr>
            <w:tcW w:w="1418" w:type="dxa"/>
          </w:tcPr>
          <w:p w:rsidR="00FA2DB7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4.904.458,77</w:t>
            </w:r>
          </w:p>
        </w:tc>
        <w:tc>
          <w:tcPr>
            <w:tcW w:w="800" w:type="dxa"/>
          </w:tcPr>
          <w:p w:rsidR="00FA2DB7" w:rsidRPr="008E5313" w:rsidRDefault="00EA564F" w:rsidP="00EA564F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</w:t>
            </w:r>
          </w:p>
        </w:tc>
      </w:tr>
      <w:tr w:rsidR="00FA2DB7" w:rsidRPr="008E5313" w:rsidTr="00FA2DB7">
        <w:tc>
          <w:tcPr>
            <w:tcW w:w="1384" w:type="dxa"/>
            <w:vAlign w:val="bottom"/>
          </w:tcPr>
          <w:p w:rsidR="00FA2DB7" w:rsidRPr="008E5313" w:rsidRDefault="00FA2DB7" w:rsidP="007520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Sosyal Güvenlik </w:t>
            </w:r>
          </w:p>
          <w:p w:rsidR="00FA2DB7" w:rsidRPr="008E5313" w:rsidRDefault="00FA2DB7" w:rsidP="007520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Kur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um ödemeleri</w:t>
            </w:r>
          </w:p>
        </w:tc>
        <w:tc>
          <w:tcPr>
            <w:tcW w:w="1276" w:type="dxa"/>
          </w:tcPr>
          <w:p w:rsidR="00FA2DB7" w:rsidRPr="008E5313" w:rsidRDefault="00FA2DB7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4.729.820,00</w:t>
            </w:r>
          </w:p>
        </w:tc>
        <w:tc>
          <w:tcPr>
            <w:tcW w:w="1417" w:type="dxa"/>
          </w:tcPr>
          <w:p w:rsidR="00FA2DB7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514.191,18</w:t>
            </w:r>
          </w:p>
        </w:tc>
        <w:tc>
          <w:tcPr>
            <w:tcW w:w="1560" w:type="dxa"/>
          </w:tcPr>
          <w:p w:rsidR="00FA2DB7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376.293,01</w:t>
            </w:r>
          </w:p>
        </w:tc>
        <w:tc>
          <w:tcPr>
            <w:tcW w:w="1701" w:type="dxa"/>
          </w:tcPr>
          <w:p w:rsidR="00FA2DB7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4.867.718,17</w:t>
            </w:r>
          </w:p>
        </w:tc>
        <w:tc>
          <w:tcPr>
            <w:tcW w:w="1275" w:type="dxa"/>
          </w:tcPr>
          <w:p w:rsidR="00FA2DB7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3.834.153,39</w:t>
            </w:r>
          </w:p>
        </w:tc>
        <w:tc>
          <w:tcPr>
            <w:tcW w:w="1418" w:type="dxa"/>
          </w:tcPr>
          <w:p w:rsidR="00FA2DB7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1.033.564,78</w:t>
            </w:r>
          </w:p>
        </w:tc>
        <w:tc>
          <w:tcPr>
            <w:tcW w:w="800" w:type="dxa"/>
          </w:tcPr>
          <w:p w:rsidR="00FA2DB7" w:rsidRPr="008E5313" w:rsidRDefault="00EA564F" w:rsidP="00EA564F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</w:t>
            </w:r>
          </w:p>
        </w:tc>
      </w:tr>
      <w:tr w:rsidR="00FA2DB7" w:rsidRPr="008E5313" w:rsidTr="00FA2DB7">
        <w:tc>
          <w:tcPr>
            <w:tcW w:w="1384" w:type="dxa"/>
            <w:vAlign w:val="bottom"/>
          </w:tcPr>
          <w:p w:rsidR="00FA2DB7" w:rsidRPr="008E5313" w:rsidRDefault="00FA2DB7" w:rsidP="007520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Mal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v</w:t>
            </w:r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e  Hizmet</w:t>
            </w:r>
            <w:proofErr w:type="gramEnd"/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FA2DB7" w:rsidRPr="008E5313" w:rsidRDefault="00FA2DB7" w:rsidP="007520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Alım </w:t>
            </w:r>
          </w:p>
        </w:tc>
        <w:tc>
          <w:tcPr>
            <w:tcW w:w="1276" w:type="dxa"/>
          </w:tcPr>
          <w:p w:rsidR="00FA2DB7" w:rsidRPr="008E5313" w:rsidRDefault="00FA2DB7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80.143.506,00</w:t>
            </w:r>
          </w:p>
        </w:tc>
        <w:tc>
          <w:tcPr>
            <w:tcW w:w="1417" w:type="dxa"/>
          </w:tcPr>
          <w:p w:rsidR="00FA2DB7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19.680.187,89</w:t>
            </w:r>
          </w:p>
        </w:tc>
        <w:tc>
          <w:tcPr>
            <w:tcW w:w="1560" w:type="dxa"/>
          </w:tcPr>
          <w:p w:rsidR="00FA2DB7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10.109.386,98</w:t>
            </w:r>
          </w:p>
        </w:tc>
        <w:tc>
          <w:tcPr>
            <w:tcW w:w="1701" w:type="dxa"/>
          </w:tcPr>
          <w:p w:rsidR="00FA2DB7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89.714.306,94</w:t>
            </w:r>
          </w:p>
        </w:tc>
        <w:tc>
          <w:tcPr>
            <w:tcW w:w="1275" w:type="dxa"/>
          </w:tcPr>
          <w:p w:rsidR="00FA2DB7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75.032.451,94</w:t>
            </w:r>
          </w:p>
        </w:tc>
        <w:tc>
          <w:tcPr>
            <w:tcW w:w="1418" w:type="dxa"/>
          </w:tcPr>
          <w:p w:rsidR="00FA2DB7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14.681.855,00</w:t>
            </w:r>
          </w:p>
        </w:tc>
        <w:tc>
          <w:tcPr>
            <w:tcW w:w="800" w:type="dxa"/>
          </w:tcPr>
          <w:p w:rsidR="00FA2DB7" w:rsidRPr="008E5313" w:rsidRDefault="00EA564F" w:rsidP="00EA564F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84</w:t>
            </w:r>
          </w:p>
        </w:tc>
      </w:tr>
      <w:tr w:rsidR="00FA2DB7" w:rsidRPr="008E5313" w:rsidTr="00FA2DB7">
        <w:tc>
          <w:tcPr>
            <w:tcW w:w="1384" w:type="dxa"/>
            <w:vAlign w:val="bottom"/>
          </w:tcPr>
          <w:p w:rsidR="00FA2DB7" w:rsidRPr="008E5313" w:rsidRDefault="00FA2DB7" w:rsidP="007520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Faiz Giderleri</w:t>
            </w:r>
          </w:p>
          <w:p w:rsidR="00FA2DB7" w:rsidRPr="008E5313" w:rsidRDefault="00FA2DB7" w:rsidP="007520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2DB7" w:rsidRPr="008E5313" w:rsidRDefault="00FA2DB7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6.000.000,00</w:t>
            </w:r>
          </w:p>
        </w:tc>
        <w:tc>
          <w:tcPr>
            <w:tcW w:w="1417" w:type="dxa"/>
          </w:tcPr>
          <w:p w:rsidR="00FA2DB7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10.550.000,00</w:t>
            </w:r>
          </w:p>
        </w:tc>
        <w:tc>
          <w:tcPr>
            <w:tcW w:w="1560" w:type="dxa"/>
          </w:tcPr>
          <w:p w:rsidR="00FA2DB7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6.000.000,00</w:t>
            </w:r>
          </w:p>
        </w:tc>
        <w:tc>
          <w:tcPr>
            <w:tcW w:w="1701" w:type="dxa"/>
          </w:tcPr>
          <w:p w:rsidR="00FA2DB7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10.550.000,00</w:t>
            </w:r>
          </w:p>
        </w:tc>
        <w:tc>
          <w:tcPr>
            <w:tcW w:w="1275" w:type="dxa"/>
          </w:tcPr>
          <w:p w:rsidR="00FA2DB7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10.526.711,39</w:t>
            </w:r>
          </w:p>
        </w:tc>
        <w:tc>
          <w:tcPr>
            <w:tcW w:w="1418" w:type="dxa"/>
          </w:tcPr>
          <w:p w:rsidR="00FA2DB7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23.288,61</w:t>
            </w:r>
          </w:p>
        </w:tc>
        <w:tc>
          <w:tcPr>
            <w:tcW w:w="800" w:type="dxa"/>
          </w:tcPr>
          <w:p w:rsidR="00FA2DB7" w:rsidRPr="008E5313" w:rsidRDefault="00EA564F" w:rsidP="00EA564F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99,7</w:t>
            </w:r>
          </w:p>
        </w:tc>
      </w:tr>
      <w:tr w:rsidR="00FA2DB7" w:rsidRPr="008E5313" w:rsidTr="00FA2DB7">
        <w:tc>
          <w:tcPr>
            <w:tcW w:w="1384" w:type="dxa"/>
            <w:vAlign w:val="bottom"/>
          </w:tcPr>
          <w:p w:rsidR="00FA2DB7" w:rsidRPr="008E5313" w:rsidRDefault="00FA2DB7" w:rsidP="007520E3">
            <w:pPr>
              <w:ind w:right="34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Cari Transfer.</w:t>
            </w:r>
          </w:p>
          <w:p w:rsidR="00FA2DB7" w:rsidRPr="008E5313" w:rsidRDefault="00FA2DB7" w:rsidP="007520E3">
            <w:pPr>
              <w:ind w:right="34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2DB7" w:rsidRPr="008E5313" w:rsidRDefault="00FA2DB7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3573.000,00</w:t>
            </w:r>
          </w:p>
        </w:tc>
        <w:tc>
          <w:tcPr>
            <w:tcW w:w="1417" w:type="dxa"/>
          </w:tcPr>
          <w:p w:rsidR="00FA2DB7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828.285,28</w:t>
            </w:r>
          </w:p>
        </w:tc>
        <w:tc>
          <w:tcPr>
            <w:tcW w:w="1560" w:type="dxa"/>
          </w:tcPr>
          <w:p w:rsidR="00FA2DB7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195.806,35</w:t>
            </w:r>
          </w:p>
        </w:tc>
        <w:tc>
          <w:tcPr>
            <w:tcW w:w="1701" w:type="dxa"/>
          </w:tcPr>
          <w:p w:rsidR="00FA2DB7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4.206.023,93</w:t>
            </w:r>
          </w:p>
        </w:tc>
        <w:tc>
          <w:tcPr>
            <w:tcW w:w="1275" w:type="dxa"/>
          </w:tcPr>
          <w:p w:rsidR="00FA2DB7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3.391.479,41</w:t>
            </w:r>
          </w:p>
        </w:tc>
        <w:tc>
          <w:tcPr>
            <w:tcW w:w="1418" w:type="dxa"/>
          </w:tcPr>
          <w:p w:rsidR="00FA2DB7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814.544,52</w:t>
            </w:r>
          </w:p>
        </w:tc>
        <w:tc>
          <w:tcPr>
            <w:tcW w:w="800" w:type="dxa"/>
          </w:tcPr>
          <w:p w:rsidR="00FA2DB7" w:rsidRPr="008E5313" w:rsidRDefault="00EA564F" w:rsidP="00EA564F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</w:t>
            </w:r>
          </w:p>
        </w:tc>
      </w:tr>
      <w:tr w:rsidR="00FA2DB7" w:rsidRPr="008E5313" w:rsidTr="00FA2DB7">
        <w:tc>
          <w:tcPr>
            <w:tcW w:w="1384" w:type="dxa"/>
            <w:vAlign w:val="bottom"/>
          </w:tcPr>
          <w:p w:rsidR="00FA2DB7" w:rsidRPr="008E5313" w:rsidRDefault="00FA2DB7" w:rsidP="007520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Sermaye Giderleri</w:t>
            </w:r>
          </w:p>
          <w:p w:rsidR="00FA2DB7" w:rsidRPr="008E5313" w:rsidRDefault="00FA2DB7" w:rsidP="007520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2DB7" w:rsidRPr="008E5313" w:rsidRDefault="00FA2DB7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13.040.000,00</w:t>
            </w:r>
          </w:p>
        </w:tc>
        <w:tc>
          <w:tcPr>
            <w:tcW w:w="1417" w:type="dxa"/>
          </w:tcPr>
          <w:p w:rsidR="00FA2DB7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897.000,00</w:t>
            </w:r>
          </w:p>
        </w:tc>
        <w:tc>
          <w:tcPr>
            <w:tcW w:w="1560" w:type="dxa"/>
          </w:tcPr>
          <w:p w:rsidR="00FA2DB7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2.265.000,00</w:t>
            </w:r>
          </w:p>
        </w:tc>
        <w:tc>
          <w:tcPr>
            <w:tcW w:w="1701" w:type="dxa"/>
          </w:tcPr>
          <w:p w:rsidR="00FA2DB7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11.672.000,00</w:t>
            </w:r>
          </w:p>
        </w:tc>
        <w:tc>
          <w:tcPr>
            <w:tcW w:w="1275" w:type="dxa"/>
          </w:tcPr>
          <w:p w:rsidR="00FA2DB7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4.314.171,00</w:t>
            </w:r>
          </w:p>
        </w:tc>
        <w:tc>
          <w:tcPr>
            <w:tcW w:w="1418" w:type="dxa"/>
          </w:tcPr>
          <w:p w:rsidR="00FA2DB7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7.357.829,00</w:t>
            </w:r>
          </w:p>
        </w:tc>
        <w:tc>
          <w:tcPr>
            <w:tcW w:w="800" w:type="dxa"/>
          </w:tcPr>
          <w:p w:rsidR="00FA2DB7" w:rsidRPr="008E5313" w:rsidRDefault="00EA564F" w:rsidP="00EA564F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37</w:t>
            </w:r>
          </w:p>
        </w:tc>
      </w:tr>
      <w:tr w:rsidR="00E003A4" w:rsidRPr="008E5313" w:rsidTr="00FA2DB7">
        <w:tc>
          <w:tcPr>
            <w:tcW w:w="1384" w:type="dxa"/>
            <w:vAlign w:val="bottom"/>
          </w:tcPr>
          <w:p w:rsidR="00E003A4" w:rsidRPr="008E5313" w:rsidRDefault="00E003A4" w:rsidP="007520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Sermaye Transferi</w:t>
            </w:r>
          </w:p>
          <w:p w:rsidR="00E003A4" w:rsidRPr="008E5313" w:rsidRDefault="00E003A4" w:rsidP="007520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03A4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417" w:type="dxa"/>
          </w:tcPr>
          <w:p w:rsidR="00E003A4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:rsidR="00E003A4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701" w:type="dxa"/>
          </w:tcPr>
          <w:p w:rsidR="00E003A4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E003A4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E003A4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E003A4" w:rsidRPr="008E5313" w:rsidRDefault="00E003A4" w:rsidP="00EA564F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E003A4" w:rsidRPr="008E5313" w:rsidTr="00FA2DB7">
        <w:tc>
          <w:tcPr>
            <w:tcW w:w="1384" w:type="dxa"/>
            <w:vAlign w:val="bottom"/>
          </w:tcPr>
          <w:p w:rsidR="00E003A4" w:rsidRPr="008E5313" w:rsidRDefault="00E003A4" w:rsidP="007520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Borç Verme</w:t>
            </w:r>
          </w:p>
          <w:p w:rsidR="00E003A4" w:rsidRPr="008E5313" w:rsidRDefault="00E003A4" w:rsidP="007520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03A4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417" w:type="dxa"/>
          </w:tcPr>
          <w:p w:rsidR="00E003A4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:rsidR="00E003A4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701" w:type="dxa"/>
          </w:tcPr>
          <w:p w:rsidR="00E003A4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E003A4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E003A4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E003A4" w:rsidRPr="008E5313" w:rsidRDefault="00E003A4" w:rsidP="00EA564F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E003A4" w:rsidRPr="008E5313" w:rsidTr="00FA2DB7">
        <w:tc>
          <w:tcPr>
            <w:tcW w:w="1384" w:type="dxa"/>
            <w:vAlign w:val="bottom"/>
          </w:tcPr>
          <w:p w:rsidR="00E003A4" w:rsidRPr="008E5313" w:rsidRDefault="00E003A4" w:rsidP="007520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Yedek Ödenekler</w:t>
            </w:r>
          </w:p>
          <w:p w:rsidR="00E003A4" w:rsidRPr="008E5313" w:rsidRDefault="00E003A4" w:rsidP="007520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03A4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15.000.00,00</w:t>
            </w:r>
          </w:p>
        </w:tc>
        <w:tc>
          <w:tcPr>
            <w:tcW w:w="1417" w:type="dxa"/>
          </w:tcPr>
          <w:p w:rsidR="00E003A4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29.711,39</w:t>
            </w:r>
          </w:p>
        </w:tc>
        <w:tc>
          <w:tcPr>
            <w:tcW w:w="1560" w:type="dxa"/>
          </w:tcPr>
          <w:p w:rsidR="00E003A4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14.777.367,73</w:t>
            </w:r>
          </w:p>
        </w:tc>
        <w:tc>
          <w:tcPr>
            <w:tcW w:w="1701" w:type="dxa"/>
          </w:tcPr>
          <w:p w:rsidR="00E003A4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249.34366</w:t>
            </w:r>
          </w:p>
        </w:tc>
        <w:tc>
          <w:tcPr>
            <w:tcW w:w="1275" w:type="dxa"/>
          </w:tcPr>
          <w:p w:rsidR="00E003A4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E003A4" w:rsidRPr="008E5313" w:rsidRDefault="00EA564F" w:rsidP="00E003A4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249.343,66</w:t>
            </w:r>
          </w:p>
        </w:tc>
        <w:tc>
          <w:tcPr>
            <w:tcW w:w="800" w:type="dxa"/>
          </w:tcPr>
          <w:p w:rsidR="00E003A4" w:rsidRPr="008E5313" w:rsidRDefault="00E003A4" w:rsidP="00EA564F">
            <w:pPr>
              <w:pStyle w:val="NormalWeb"/>
              <w:spacing w:before="0" w:beforeAutospacing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E003A4" w:rsidRPr="008E5313" w:rsidTr="00FA2DB7">
        <w:tc>
          <w:tcPr>
            <w:tcW w:w="1384" w:type="dxa"/>
            <w:vAlign w:val="bottom"/>
          </w:tcPr>
          <w:p w:rsidR="00E003A4" w:rsidRPr="008E5313" w:rsidRDefault="00E003A4" w:rsidP="007520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E531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1276" w:type="dxa"/>
          </w:tcPr>
          <w:p w:rsidR="00E003A4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150.310.000,00</w:t>
            </w:r>
          </w:p>
        </w:tc>
        <w:tc>
          <w:tcPr>
            <w:tcW w:w="1417" w:type="dxa"/>
          </w:tcPr>
          <w:p w:rsidR="00E003A4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34.847.412,99</w:t>
            </w:r>
          </w:p>
        </w:tc>
        <w:tc>
          <w:tcPr>
            <w:tcW w:w="1560" w:type="dxa"/>
          </w:tcPr>
          <w:p w:rsidR="00E003A4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34.847.412,99</w:t>
            </w:r>
          </w:p>
        </w:tc>
        <w:tc>
          <w:tcPr>
            <w:tcW w:w="1701" w:type="dxa"/>
          </w:tcPr>
          <w:p w:rsidR="00E003A4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150.310.000,00</w:t>
            </w:r>
          </w:p>
        </w:tc>
        <w:tc>
          <w:tcPr>
            <w:tcW w:w="1275" w:type="dxa"/>
          </w:tcPr>
          <w:p w:rsidR="00E003A4" w:rsidRPr="008E5313" w:rsidRDefault="00EA564F" w:rsidP="00EA564F">
            <w:pPr>
              <w:pStyle w:val="NormalWeb"/>
              <w:spacing w:before="0" w:beforeAutospacing="0" w:after="0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121.245.115,66</w:t>
            </w:r>
          </w:p>
        </w:tc>
        <w:tc>
          <w:tcPr>
            <w:tcW w:w="1418" w:type="dxa"/>
          </w:tcPr>
          <w:p w:rsidR="00E003A4" w:rsidRPr="008E5313" w:rsidRDefault="00E003A4" w:rsidP="00E003A4">
            <w:pPr>
              <w:pStyle w:val="NormalWeb"/>
              <w:spacing w:before="0" w:beforeAutospacing="0" w:after="0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0" w:type="dxa"/>
          </w:tcPr>
          <w:p w:rsidR="00E003A4" w:rsidRPr="008E5313" w:rsidRDefault="00EA564F" w:rsidP="00EA564F">
            <w:pPr>
              <w:pStyle w:val="NormalWeb"/>
              <w:spacing w:before="0" w:beforeAutospacing="0" w:after="0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81</w:t>
            </w:r>
          </w:p>
        </w:tc>
      </w:tr>
    </w:tbl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color w:val="000000" w:themeColor="text1"/>
          <w:sz w:val="16"/>
          <w:szCs w:val="16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color w:val="000000" w:themeColor="text1"/>
        </w:rPr>
      </w:pPr>
    </w:p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color w:val="000000" w:themeColor="text1"/>
        </w:rPr>
      </w:pPr>
      <w:r w:rsidRPr="008E5313">
        <w:rPr>
          <w:b/>
          <w:color w:val="000000" w:themeColor="text1"/>
        </w:rPr>
        <w:t>Sonuç olarak;</w:t>
      </w:r>
      <w:r w:rsidRPr="008E5313">
        <w:rPr>
          <w:color w:val="000000" w:themeColor="text1"/>
        </w:rPr>
        <w:t xml:space="preserve"> Mali Hizmetler Müdürlüğünce hazırlanan 201</w:t>
      </w:r>
      <w:r w:rsidR="005C5812">
        <w:rPr>
          <w:color w:val="000000" w:themeColor="text1"/>
        </w:rPr>
        <w:t>9</w:t>
      </w:r>
      <w:r w:rsidRPr="008E5313">
        <w:rPr>
          <w:color w:val="000000" w:themeColor="text1"/>
        </w:rPr>
        <w:t xml:space="preserve"> Mali Yılı Bütçe Kesin Hesabı, Belediye </w:t>
      </w:r>
      <w:proofErr w:type="gramStart"/>
      <w:r w:rsidRPr="008E5313">
        <w:rPr>
          <w:color w:val="000000" w:themeColor="text1"/>
        </w:rPr>
        <w:t xml:space="preserve">Encümeni’nin  </w:t>
      </w:r>
      <w:r w:rsidR="00411542">
        <w:rPr>
          <w:color w:val="000000" w:themeColor="text1"/>
        </w:rPr>
        <w:t>07</w:t>
      </w:r>
      <w:proofErr w:type="gramEnd"/>
      <w:r w:rsidRPr="008E5313">
        <w:rPr>
          <w:color w:val="000000" w:themeColor="text1"/>
        </w:rPr>
        <w:t>.0</w:t>
      </w:r>
      <w:r>
        <w:rPr>
          <w:color w:val="000000" w:themeColor="text1"/>
        </w:rPr>
        <w:t>5</w:t>
      </w:r>
      <w:r w:rsidR="000E7ADE">
        <w:rPr>
          <w:color w:val="000000" w:themeColor="text1"/>
        </w:rPr>
        <w:t>.2020</w:t>
      </w:r>
      <w:r w:rsidRPr="008E5313">
        <w:rPr>
          <w:color w:val="000000" w:themeColor="text1"/>
        </w:rPr>
        <w:t xml:space="preserve"> tarih ve </w:t>
      </w:r>
      <w:r w:rsidR="00411542">
        <w:rPr>
          <w:color w:val="000000" w:themeColor="text1"/>
        </w:rPr>
        <w:t>36/184</w:t>
      </w:r>
      <w:r w:rsidRPr="008E5313">
        <w:rPr>
          <w:color w:val="000000" w:themeColor="text1"/>
        </w:rPr>
        <w:t xml:space="preserve"> sayılı kararı ile uygun görüldüğü,  5018 sayılı Kamu Mali Yönetimi Kontrol Kanunu, 5393 sayılı Belediye Kanunu ve ilgili yönetmelik hükümlerine uy</w:t>
      </w:r>
      <w:r w:rsidR="000E7ADE">
        <w:rPr>
          <w:color w:val="000000" w:themeColor="text1"/>
        </w:rPr>
        <w:t>ulduğu tespit edildiğinden,  20</w:t>
      </w:r>
      <w:r w:rsidR="00411542">
        <w:rPr>
          <w:color w:val="000000" w:themeColor="text1"/>
        </w:rPr>
        <w:t>19</w:t>
      </w:r>
      <w:r w:rsidRPr="008E5313">
        <w:rPr>
          <w:color w:val="000000" w:themeColor="text1"/>
        </w:rPr>
        <w:t xml:space="preserve">  Mali Yılı Kesin Hesabının kabulü komisyonumuzca uygun görülmüştür.</w:t>
      </w:r>
    </w:p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color w:val="000000" w:themeColor="text1"/>
        </w:rPr>
      </w:pPr>
      <w:r w:rsidRPr="008E5313">
        <w:rPr>
          <w:color w:val="000000" w:themeColor="text1"/>
        </w:rPr>
        <w:t xml:space="preserve"> </w:t>
      </w:r>
    </w:p>
    <w:p w:rsidR="005D4406" w:rsidRPr="008E5313" w:rsidRDefault="005D4406" w:rsidP="005D4406">
      <w:pPr>
        <w:pStyle w:val="NormalWeb"/>
        <w:spacing w:before="0" w:beforeAutospacing="0" w:after="0"/>
        <w:ind w:firstLine="708"/>
        <w:jc w:val="both"/>
        <w:rPr>
          <w:color w:val="000000" w:themeColor="text1"/>
        </w:rPr>
      </w:pPr>
      <w:r w:rsidRPr="008E5313">
        <w:rPr>
          <w:color w:val="000000" w:themeColor="text1"/>
        </w:rPr>
        <w:t xml:space="preserve">İşbu rapor, Belediye Meclisimizin Mayıs ayı toplantısında görüşülerek karara bağlanmak üzere </w:t>
      </w:r>
      <w:r w:rsidR="00F63F2C" w:rsidRPr="00F63F2C">
        <w:t>03.07.2020</w:t>
      </w:r>
      <w:r w:rsidRPr="008E5313">
        <w:rPr>
          <w:color w:val="000000" w:themeColor="text1"/>
        </w:rPr>
        <w:t xml:space="preserve"> tarihinde tarafımızdan tanzim ve imza edilmiştir. </w:t>
      </w:r>
    </w:p>
    <w:p w:rsidR="005D4406" w:rsidRPr="008E5313" w:rsidRDefault="005D4406" w:rsidP="005D4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53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D4406" w:rsidRPr="008E5313" w:rsidRDefault="005D4406" w:rsidP="005D44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5313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5D4406" w:rsidRPr="008E5313" w:rsidRDefault="005D4406" w:rsidP="005D440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4406" w:rsidRPr="008E5313" w:rsidRDefault="005D4406" w:rsidP="005D440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4406" w:rsidRPr="002F5FD6" w:rsidRDefault="005D4406" w:rsidP="005D4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70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</w:t>
      </w:r>
      <w:r w:rsidR="00FF4E70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FF4E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6339E" w:rsidRPr="002F5FD6">
        <w:rPr>
          <w:rFonts w:ascii="Times New Roman" w:hAnsi="Times New Roman" w:cs="Times New Roman"/>
          <w:sz w:val="24"/>
          <w:szCs w:val="24"/>
        </w:rPr>
        <w:t>Fatih YAŞLIOĞLU</w:t>
      </w:r>
      <w:r w:rsidRPr="002F5FD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6339E" w:rsidRPr="002F5FD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F5FD6">
        <w:rPr>
          <w:rFonts w:ascii="Times New Roman" w:hAnsi="Times New Roman" w:cs="Times New Roman"/>
          <w:sz w:val="24"/>
          <w:szCs w:val="24"/>
        </w:rPr>
        <w:t>Alper CEBECİ</w:t>
      </w:r>
    </w:p>
    <w:p w:rsidR="005D4406" w:rsidRPr="002F5FD6" w:rsidRDefault="005D4406" w:rsidP="005D4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D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6339E" w:rsidRPr="002F5FD6">
        <w:rPr>
          <w:rFonts w:ascii="Times New Roman" w:hAnsi="Times New Roman" w:cs="Times New Roman"/>
          <w:sz w:val="24"/>
          <w:szCs w:val="24"/>
        </w:rPr>
        <w:t xml:space="preserve">     </w:t>
      </w:r>
      <w:r w:rsidRPr="002F5FD6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</w:t>
      </w:r>
      <w:r w:rsidR="00FF4E70" w:rsidRPr="002F5FD6">
        <w:rPr>
          <w:rFonts w:ascii="Times New Roman" w:hAnsi="Times New Roman" w:cs="Times New Roman"/>
          <w:sz w:val="24"/>
          <w:szCs w:val="24"/>
        </w:rPr>
        <w:t xml:space="preserve">     </w:t>
      </w:r>
      <w:r w:rsidR="0026339E" w:rsidRPr="002F5FD6">
        <w:rPr>
          <w:rFonts w:ascii="Times New Roman" w:hAnsi="Times New Roman" w:cs="Times New Roman"/>
          <w:sz w:val="24"/>
          <w:szCs w:val="24"/>
        </w:rPr>
        <w:t xml:space="preserve">      </w:t>
      </w:r>
      <w:r w:rsidRPr="002F5FD6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5D4406" w:rsidRPr="002F5FD6" w:rsidRDefault="005D4406" w:rsidP="005D4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406" w:rsidRPr="002F5FD6" w:rsidRDefault="005D4406" w:rsidP="005D4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406" w:rsidRPr="002F5FD6" w:rsidRDefault="0026339E" w:rsidP="005D4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D6">
        <w:rPr>
          <w:rFonts w:ascii="Times New Roman" w:hAnsi="Times New Roman" w:cs="Times New Roman"/>
          <w:sz w:val="24"/>
          <w:szCs w:val="24"/>
        </w:rPr>
        <w:t xml:space="preserve">         Oğuz Kağan TANRIVERDİ</w:t>
      </w:r>
      <w:r w:rsidR="00A31665" w:rsidRPr="002F5F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4406" w:rsidRPr="002F5FD6">
        <w:rPr>
          <w:rFonts w:ascii="Times New Roman" w:hAnsi="Times New Roman" w:cs="Times New Roman"/>
          <w:sz w:val="24"/>
          <w:szCs w:val="24"/>
        </w:rPr>
        <w:t xml:space="preserve"> </w:t>
      </w:r>
      <w:r w:rsidRPr="002F5FD6">
        <w:rPr>
          <w:rFonts w:ascii="Times New Roman" w:hAnsi="Times New Roman" w:cs="Times New Roman"/>
          <w:sz w:val="24"/>
          <w:szCs w:val="24"/>
        </w:rPr>
        <w:t xml:space="preserve">      </w:t>
      </w:r>
      <w:r w:rsidR="00FF4E70" w:rsidRPr="002F5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406" w:rsidRPr="002F5FD6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="005D4406" w:rsidRPr="002F5FD6">
        <w:rPr>
          <w:rFonts w:ascii="Times New Roman" w:hAnsi="Times New Roman" w:cs="Times New Roman"/>
          <w:sz w:val="24"/>
          <w:szCs w:val="24"/>
        </w:rPr>
        <w:t xml:space="preserve"> BAŞARAN            </w:t>
      </w:r>
      <w:r w:rsidR="00A31665" w:rsidRPr="002F5FD6">
        <w:rPr>
          <w:rFonts w:ascii="Times New Roman" w:hAnsi="Times New Roman" w:cs="Times New Roman"/>
          <w:sz w:val="24"/>
          <w:szCs w:val="24"/>
        </w:rPr>
        <w:t xml:space="preserve">         </w:t>
      </w:r>
      <w:r w:rsidR="005D4406" w:rsidRPr="002F5FD6">
        <w:rPr>
          <w:rFonts w:ascii="Times New Roman" w:hAnsi="Times New Roman" w:cs="Times New Roman"/>
          <w:sz w:val="24"/>
          <w:szCs w:val="24"/>
        </w:rPr>
        <w:t xml:space="preserve">  </w:t>
      </w:r>
      <w:r w:rsidR="00A31665" w:rsidRPr="002F5FD6">
        <w:rPr>
          <w:rFonts w:ascii="Times New Roman" w:hAnsi="Times New Roman" w:cs="Times New Roman"/>
          <w:sz w:val="24"/>
          <w:szCs w:val="24"/>
        </w:rPr>
        <w:t xml:space="preserve">Özgür ÖKMEN        </w:t>
      </w:r>
    </w:p>
    <w:p w:rsidR="00256C4C" w:rsidRPr="002F5FD6" w:rsidRDefault="005D4406" w:rsidP="005C5812">
      <w:pPr>
        <w:spacing w:after="0" w:line="240" w:lineRule="auto"/>
        <w:jc w:val="both"/>
      </w:pPr>
      <w:r w:rsidRPr="002F5FD6">
        <w:rPr>
          <w:rFonts w:ascii="Times New Roman" w:hAnsi="Times New Roman" w:cs="Times New Roman"/>
          <w:sz w:val="24"/>
          <w:szCs w:val="24"/>
        </w:rPr>
        <w:t xml:space="preserve">                             Üye                                           </w:t>
      </w:r>
      <w:r w:rsidR="0026339E" w:rsidRPr="002F5FD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F5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FD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F5FD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2F5FD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F5FD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56C4C" w:rsidRPr="002F5FD6" w:rsidSect="007520E3">
      <w:pgSz w:w="12240" w:h="15840" w:code="1"/>
      <w:pgMar w:top="964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3A4" w:rsidRDefault="00E003A4" w:rsidP="005F72F4">
      <w:pPr>
        <w:spacing w:after="0" w:line="240" w:lineRule="auto"/>
      </w:pPr>
      <w:r>
        <w:separator/>
      </w:r>
    </w:p>
  </w:endnote>
  <w:endnote w:type="continuationSeparator" w:id="0">
    <w:p w:rsidR="00E003A4" w:rsidRDefault="00E003A4" w:rsidP="005F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712" w:rsidRDefault="0010571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3601"/>
      <w:docPartObj>
        <w:docPartGallery w:val="Page Numbers (Bottom of Page)"/>
        <w:docPartUnique/>
      </w:docPartObj>
    </w:sdtPr>
    <w:sdtContent>
      <w:p w:rsidR="00105712" w:rsidRDefault="00105712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003A4" w:rsidRDefault="00E003A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712" w:rsidRDefault="0010571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3A4" w:rsidRDefault="00E003A4" w:rsidP="005F72F4">
      <w:pPr>
        <w:spacing w:after="0" w:line="240" w:lineRule="auto"/>
      </w:pPr>
      <w:r>
        <w:separator/>
      </w:r>
    </w:p>
  </w:footnote>
  <w:footnote w:type="continuationSeparator" w:id="0">
    <w:p w:rsidR="00E003A4" w:rsidRDefault="00E003A4" w:rsidP="005F7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712" w:rsidRDefault="0010571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712" w:rsidRDefault="0010571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712" w:rsidRDefault="0010571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406"/>
    <w:rsid w:val="000223EA"/>
    <w:rsid w:val="00046605"/>
    <w:rsid w:val="00054774"/>
    <w:rsid w:val="0009084C"/>
    <w:rsid w:val="000E7ADE"/>
    <w:rsid w:val="000F5392"/>
    <w:rsid w:val="00105712"/>
    <w:rsid w:val="001165F9"/>
    <w:rsid w:val="001172E7"/>
    <w:rsid w:val="001444F6"/>
    <w:rsid w:val="001C1690"/>
    <w:rsid w:val="00256C4C"/>
    <w:rsid w:val="0026339E"/>
    <w:rsid w:val="002C6653"/>
    <w:rsid w:val="002F5FD6"/>
    <w:rsid w:val="003F4872"/>
    <w:rsid w:val="00411542"/>
    <w:rsid w:val="004A0F79"/>
    <w:rsid w:val="005C5812"/>
    <w:rsid w:val="005C5888"/>
    <w:rsid w:val="005D4406"/>
    <w:rsid w:val="005F72F4"/>
    <w:rsid w:val="006769E4"/>
    <w:rsid w:val="00677D47"/>
    <w:rsid w:val="006867C8"/>
    <w:rsid w:val="006C4693"/>
    <w:rsid w:val="0074613C"/>
    <w:rsid w:val="007520E3"/>
    <w:rsid w:val="00793563"/>
    <w:rsid w:val="007D046E"/>
    <w:rsid w:val="007D28F6"/>
    <w:rsid w:val="007F77C0"/>
    <w:rsid w:val="00823AEA"/>
    <w:rsid w:val="0096517C"/>
    <w:rsid w:val="00A30CB3"/>
    <w:rsid w:val="00A31665"/>
    <w:rsid w:val="00B46490"/>
    <w:rsid w:val="00B721D1"/>
    <w:rsid w:val="00C657C7"/>
    <w:rsid w:val="00CA7009"/>
    <w:rsid w:val="00CB790F"/>
    <w:rsid w:val="00CE7B12"/>
    <w:rsid w:val="00E003A4"/>
    <w:rsid w:val="00EA28E2"/>
    <w:rsid w:val="00EA564F"/>
    <w:rsid w:val="00F63F2C"/>
    <w:rsid w:val="00FA2DB7"/>
    <w:rsid w:val="00FB18A5"/>
    <w:rsid w:val="00FF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06"/>
    <w:rPr>
      <w:rFonts w:eastAsiaTheme="minorEastAsia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5D4406"/>
    <w:pPr>
      <w:keepNext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semiHidden/>
    <w:rsid w:val="005D440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nhideWhenUsed/>
    <w:rsid w:val="005D44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5D4406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5D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D4406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10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05712"/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6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fikriyeodabasi</cp:lastModifiedBy>
  <cp:revision>22</cp:revision>
  <cp:lastPrinted>2020-07-03T08:33:00Z</cp:lastPrinted>
  <dcterms:created xsi:type="dcterms:W3CDTF">2020-05-29T06:49:00Z</dcterms:created>
  <dcterms:modified xsi:type="dcterms:W3CDTF">2020-07-03T08:54:00Z</dcterms:modified>
</cp:coreProperties>
</file>